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lang w:val="en-US" w:eastAsia="zh-CN"/>
        </w:rPr>
      </w:pPr>
      <w:r>
        <w:rPr>
          <w:rFonts w:hint="eastAsia"/>
          <w:lang w:val="en-US" w:eastAsia="zh-CN"/>
        </w:rPr>
        <w:t>聘请第三方专业机构对全县核心视频管理设备、9个镇、115个村居视频监控系统进行技术维护。</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我单位对整个项目的实施进行了整体评价，自评得分100分，自评等级为优。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w:t>
      </w:r>
      <w:r>
        <w:rPr>
          <w:lang w:val="en-US" w:eastAsia="zh-CN"/>
        </w:rPr>
        <w:t>20</w:t>
      </w:r>
      <w:r>
        <w:rPr>
          <w:rFonts w:hint="eastAsia"/>
          <w:lang w:val="en-US" w:eastAsia="zh-CN"/>
        </w:rPr>
        <w:t>22年</w:t>
      </w:r>
      <w:bookmarkStart w:id="0" w:name="_GoBack"/>
      <w:bookmarkEnd w:id="0"/>
      <w:r>
        <w:rPr>
          <w:rFonts w:hint="eastAsia"/>
          <w:lang w:val="en-US" w:eastAsia="zh-CN"/>
        </w:rPr>
        <w:t>3月，该项资金已经全部使用完毕。</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全县基层公共服务平台视频监控管理系统维护经费实际总投入138000元。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该项目实际支出138000元，于2022年3月一次性支付乳源瑶族自治县安腾电子科技有限公司。</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聘请了第三方专业机构对全县核心视频管理设备、9个镇、115个村居视频监控系统进行技术维护，服务期限为1年，服务期内视频监控系统运行稳定。</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视频监控管理系统的运行，为全县基层公共服务的效能监察提供了有力手段，有利于提高村居公共服务站办事人员的工作效能。同时，视频安防监控功能也有效改善了村居公共服务站周边的治安状况，保障了民众的人身安全。</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1F961267"/>
    <w:rsid w:val="2A281FC1"/>
    <w:rsid w:val="2E39202F"/>
    <w:rsid w:val="311D0D90"/>
    <w:rsid w:val="41A60DD7"/>
    <w:rsid w:val="420C1B66"/>
    <w:rsid w:val="48BD36F8"/>
    <w:rsid w:val="4A5E1AB1"/>
    <w:rsid w:val="700A623F"/>
    <w:rsid w:val="71786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56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1832</Words>
  <Characters>1871</Characters>
  <Lines>0</Lines>
  <Paragraphs>0</Paragraphs>
  <TotalTime>3</TotalTime>
  <ScaleCrop>false</ScaleCrop>
  <LinksUpToDate>false</LinksUpToDate>
  <CharactersWithSpaces>1871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2023-06-20T03:06:43Z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