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lang w:val="en-US" w:eastAsia="zh-CN"/>
        </w:rPr>
      </w:pPr>
      <w:r>
        <w:rPr>
          <w:rFonts w:hint="eastAsia"/>
          <w:lang w:val="en-US" w:eastAsia="zh-CN"/>
        </w:rPr>
        <w:t>按照县公安局网络安全民警的要求，第三方机构开展基层公共服务无线网络安全保护工作，落实村（居）公共服务站的网络安全保护技术措施，堵塞漏洞，加强网络安全防护。</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我单位对整个项目的实施进行了整体评价，自评得分100分，自评等级为优。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w:t>
      </w:r>
      <w:r>
        <w:rPr>
          <w:lang w:val="en-US" w:eastAsia="zh-CN"/>
        </w:rPr>
        <w:t>20</w:t>
      </w:r>
      <w:r>
        <w:rPr>
          <w:rFonts w:hint="eastAsia"/>
          <w:lang w:val="en-US" w:eastAsia="zh-CN"/>
        </w:rPr>
        <w:t>22年3月，该项资金已经全部使用完毕。</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基础公共服务无线网案例安全保护工作经费实际总投入49996元。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该项目实际支出49996元，于2022年3月一次性支付中乳源瑶族自治县安腾电子科技有限公司。</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该项目委托了第三方机构开展基层公共服务无线网络安全保护工作，通过落实安全保护技术措施，堵塞安全漏洞，加强了基层公共服务无线网络安全防护。</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该项目通过加强基层公共服务无线网络安全防护，有效避免了镇村因网络安全问题而导致的网络故障，同时减少了民众使用基层公共服务无线网络造成的信息泄露风险，使民众的个人信息得到了更好的保护。</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bookmarkStart w:id="0" w:name="_GoBack"/>
      <w:bookmarkEnd w:id="0"/>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1F961267"/>
    <w:rsid w:val="2A281FC1"/>
    <w:rsid w:val="2E39202F"/>
    <w:rsid w:val="311D0D90"/>
    <w:rsid w:val="41A60DD7"/>
    <w:rsid w:val="420C1B66"/>
    <w:rsid w:val="48BD36F8"/>
    <w:rsid w:val="4A5E1AB1"/>
    <w:rsid w:val="700A6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56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1792</Words>
  <Characters>1833</Characters>
  <Lines>0</Lines>
  <Paragraphs>0</Paragraphs>
  <TotalTime>1</TotalTime>
  <ScaleCrop>false</ScaleCrop>
  <LinksUpToDate>false</LinksUpToDate>
  <CharactersWithSpaces>1833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2023-06-20T02:35:04Z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