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sz w:val="36"/>
          <w:szCs w:val="36"/>
        </w:rPr>
      </w:pPr>
      <w:r>
        <w:rPr>
          <w:rFonts w:hint="eastAsia" w:ascii="宋体" w:hAnsi="宋体"/>
          <w:b/>
          <w:sz w:val="36"/>
          <w:szCs w:val="36"/>
        </w:rPr>
        <w:t>财政支出项目绩效自评报告</w:t>
      </w:r>
    </w:p>
    <w:p>
      <w:pPr>
        <w:rPr>
          <w:rFonts w:ascii="仿宋_GB2312" w:eastAsia="仿宋_GB2312"/>
          <w:sz w:val="44"/>
          <w:szCs w:val="44"/>
        </w:rPr>
      </w:pPr>
    </w:p>
    <w:p>
      <w:pPr>
        <w:spacing w:line="360" w:lineRule="auto"/>
        <w:ind w:firstLine="640" w:firstLineChars="200"/>
        <w:rPr>
          <w:rFonts w:ascii="黑体" w:eastAsia="黑体"/>
          <w:sz w:val="32"/>
          <w:szCs w:val="32"/>
        </w:rPr>
      </w:pPr>
      <w:r>
        <w:rPr>
          <w:rFonts w:hint="eastAsia" w:ascii="黑体" w:eastAsia="黑体"/>
          <w:sz w:val="32"/>
          <w:szCs w:val="32"/>
        </w:rPr>
        <w:t>一、项目基本情况及自评结论</w:t>
      </w:r>
    </w:p>
    <w:p>
      <w:p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（一）项目用款单位简要情况。</w:t>
      </w:r>
    </w:p>
    <w:p>
      <w:pPr>
        <w:spacing w:line="360" w:lineRule="auto"/>
        <w:ind w:firstLine="640" w:firstLineChars="200"/>
        <w:rPr>
          <w:rFonts w:hint="eastAsia" w:ascii="仿宋_GB2312" w:eastAsia="仿宋_GB2312"/>
          <w:sz w:val="32"/>
          <w:szCs w:val="32"/>
        </w:rPr>
      </w:pPr>
      <w:r>
        <w:rPr>
          <w:rFonts w:hint="eastAsia" w:ascii="仿宋_GB2312" w:hAnsi="仿宋_GB2312" w:eastAsia="仿宋_GB2312"/>
          <w:sz w:val="32"/>
          <w:szCs w:val="32"/>
          <w:lang w:val="en-US" w:eastAsia="zh-CN"/>
        </w:rPr>
        <w:t>乳源瑶族自治县水务局是一级行政预算单位。负责保障水资源的合理开发利用、组织开展水资源保护工作；负责生活、生产经营和生态环境用水的统筹和保障；负责节约用水工作；负责提出水利固定资产投资规模；方向及县级财政性资金安排建议并组织指导实施；组织实施水利设施、水域及其岸线的管理、保护与综合利用；负责监督水利工程建设与运行管理；负责水土保持工作；组织开展江河湖库和地下水监测工作；组织开展农村水利工作；承担水库移民管理工作；组织开展水政监察和水行政执法工作；负责落实综合防灾减灾规划相关要求，组织编制洪水干旱灾害防治规划、防护标准并指导实施。</w:t>
      </w:r>
    </w:p>
    <w:p>
      <w:pPr>
        <w:numPr>
          <w:ilvl w:val="0"/>
          <w:numId w:val="1"/>
        </w:numPr>
        <w:spacing w:line="360" w:lineRule="auto"/>
        <w:ind w:firstLine="640" w:firstLineChars="200"/>
        <w:rPr>
          <w:rFonts w:hint="eastAsia" w:ascii="仿宋_GB2312" w:eastAsia="仿宋_GB2312"/>
          <w:sz w:val="32"/>
          <w:szCs w:val="32"/>
        </w:rPr>
      </w:pPr>
      <w:r>
        <w:rPr>
          <w:rFonts w:hint="eastAsia" w:ascii="仿宋_GB2312" w:eastAsia="仿宋_GB2312"/>
          <w:sz w:val="32"/>
          <w:szCs w:val="32"/>
        </w:rPr>
        <w:t>项目实施主要内容及实施程序。</w:t>
      </w:r>
    </w:p>
    <w:p>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乳源瑶族自治县城乡供水一体化建设工程主要包括乳源瑶族自治县乡镇水厂饮水保障提升工程；乳源瑶族自治县农村供水管网地理信息系统建设工程；乳源瑶族自治县自来水城乡供水一体化主管网提升工程；乳源瑶族自治县老旧小区一户一表及二次供水提升工程；完善全县供水管道及智能水表改造工程；农村集中安全供水工程；大桥水厂、红云水厂建设；桂头水厂整体提升工程；大桥镇、大布镇镇区改造提升工程；城乡千人以下饮水建设等。</w:t>
      </w:r>
    </w:p>
    <w:p>
      <w:pPr>
        <w:numPr>
          <w:ilvl w:val="0"/>
          <w:numId w:val="1"/>
        </w:numPr>
        <w:spacing w:line="360" w:lineRule="auto"/>
        <w:ind w:left="0" w:leftChars="0" w:firstLine="640" w:firstLineChars="200"/>
        <w:rPr>
          <w:rFonts w:hint="eastAsia" w:ascii="仿宋_GB2312" w:eastAsia="仿宋_GB2312"/>
          <w:sz w:val="32"/>
          <w:szCs w:val="32"/>
        </w:rPr>
      </w:pPr>
      <w:r>
        <w:rPr>
          <w:rFonts w:hint="eastAsia" w:ascii="仿宋_GB2312" w:eastAsia="仿宋_GB2312"/>
          <w:sz w:val="32"/>
          <w:szCs w:val="32"/>
          <w:lang w:val="en-US" w:eastAsia="zh-CN"/>
        </w:rPr>
        <w:t>综</w:t>
      </w:r>
      <w:r>
        <w:rPr>
          <w:rFonts w:hint="eastAsia" w:ascii="仿宋_GB2312" w:eastAsia="仿宋_GB2312"/>
          <w:sz w:val="32"/>
          <w:szCs w:val="32"/>
        </w:rPr>
        <w:t>述项目自评等级和分数，并对照佐证材料逐一分析。</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eastAsia="仿宋_GB2312"/>
          <w:sz w:val="32"/>
          <w:szCs w:val="32"/>
        </w:rPr>
      </w:pPr>
      <w:r>
        <w:rPr>
          <w:rFonts w:hint="eastAsia" w:ascii="仿宋_GB2312" w:hAnsi="仿宋_GB2312" w:eastAsia="仿宋_GB2312"/>
          <w:sz w:val="32"/>
          <w:szCs w:val="32"/>
          <w:lang w:val="en-US" w:eastAsia="zh-CN"/>
        </w:rPr>
        <w:t>制定了相应的管理制度，强化对项目承担单位业务、技术及财务管理等级措施，保证了项目绩效目标的顺利完成，取得良好的社会效益、经济效益、生态效益，根据县财政局财政支出项目绩效评价评分表的评价内容和指标，自评得分99分，项目绩效评价等级为优。</w:t>
      </w:r>
    </w:p>
    <w:p>
      <w:pPr>
        <w:spacing w:line="360" w:lineRule="auto"/>
        <w:ind w:firstLine="640" w:firstLineChars="200"/>
        <w:rPr>
          <w:rFonts w:ascii="黑体" w:eastAsia="黑体"/>
          <w:sz w:val="32"/>
          <w:szCs w:val="32"/>
        </w:rPr>
      </w:pPr>
      <w:r>
        <w:rPr>
          <w:rFonts w:hint="eastAsia" w:ascii="黑体" w:eastAsia="黑体"/>
          <w:sz w:val="32"/>
          <w:szCs w:val="32"/>
        </w:rPr>
        <w:t>二、绩效表现</w:t>
      </w:r>
    </w:p>
    <w:p>
      <w:pPr>
        <w:spacing w:line="360" w:lineRule="auto"/>
        <w:ind w:firstLine="640" w:firstLineChars="200"/>
        <w:rPr>
          <w:rFonts w:ascii="仿宋_GB2312" w:eastAsia="仿宋_GB2312"/>
          <w:sz w:val="32"/>
          <w:szCs w:val="32"/>
        </w:rPr>
      </w:pPr>
      <w:r>
        <w:rPr>
          <w:rFonts w:hint="eastAsia" w:ascii="仿宋_GB2312" w:eastAsia="仿宋_GB2312"/>
          <w:sz w:val="32"/>
          <w:szCs w:val="32"/>
        </w:rPr>
        <w:t>（一）资金使用绩效。</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1、项目资金实际总投入情况。</w:t>
      </w:r>
    </w:p>
    <w:p>
      <w:pPr>
        <w:spacing w:line="360" w:lineRule="auto"/>
        <w:ind w:firstLine="640" w:firstLineChars="200"/>
        <w:rPr>
          <w:rFonts w:hint="default" w:ascii="仿宋_GB2312" w:hAnsi="仿宋_GB2312" w:eastAsia="仿宋_GB2312"/>
          <w:sz w:val="32"/>
          <w:szCs w:val="32"/>
          <w:lang w:val="en-US" w:eastAsia="zh-CN"/>
        </w:rPr>
      </w:pPr>
      <w:r>
        <w:rPr>
          <w:rFonts w:hint="eastAsia" w:ascii="仿宋_GB2312" w:hAnsi="仿宋_GB2312" w:eastAsia="仿宋_GB2312"/>
          <w:sz w:val="32"/>
          <w:szCs w:val="32"/>
          <w:lang w:val="en-US" w:eastAsia="zh-CN"/>
        </w:rPr>
        <w:t>2022年乳源瑶族自治县城乡供水一体化建设工程预算5000.00万元，到位资金5000.00万元。</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2、项目资金实际支出情况，具体详细说明。</w:t>
      </w:r>
    </w:p>
    <w:p>
      <w:p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lang w:val="en-US" w:eastAsia="zh-CN"/>
        </w:rPr>
        <w:t>2022年乳源瑶族自治县城乡供水一体化建设工程预算5000.00万元，到位资金5000.00万元，年末实际支出5000.00万元。其中乳城镇千人以下工程、一六镇扩网工程、大布镇水厂扩网工程支付3.88万元；乳城镇村村通扩网工程——水厂及管网设施完善工程（厂区部分）支付235.00万元；乳源瑶族自治县必背镇千人以下饮水工程75.91万元；乳源瑶族自治县必背镇水质提升工程119.00万元；乳源瑶族自治县大布镇水厂扩网工程51.72万元；乳源瑶族自治县大桥镇大岗村委会农村供水提升工程166.17万元；乳源瑶族自治县大桥镇大坪村委会农村供水改造提升工程53.26万元；乳源瑶族自治县大桥镇均容村农村供水改造提升工程176.58万元；乳源瑶族自治县大桥镇清溪洞饮水工程34.49万元；乳源瑶族自治县大桥中石角塘红星片区农村供水改造提升工程289.24万元；乳源瑶族自治县大桥镇水厂及配套管网标准化建设项目施工及管网设备采购工程248.68万元；乳源瑶族自治县大桥镇塘华村委会饮水提升工程174.39万元；乳源瑶族自治县大桥镇武丰村农村供水改造提升工程291.82万元；乳源瑶族自治县东坪镇区供水改造提升工程80.37万元；乳源瑶族自治县古结村农村供水改造提升工程104.64万元；乳源瑶族自治县桂头水厂片区农村供水主管道提升工程303.83万元；乳源瑶族自治县桂头镇村村通自来水提升工程129.74万元；乳源瑶族自治县红云水厂工程项目施工及管网设备采购352.39万元；乳源瑶族自治县乳城镇村村通扩网工程——水厂及管网设施完善工程（水厂部分）99.98万元；乳源瑶族自治县乳城镇农村人居环境整治工程自来水管网提升工程1327.93万元。</w:t>
      </w:r>
    </w:p>
    <w:p>
      <w:pPr>
        <w:numPr>
          <w:ilvl w:val="0"/>
          <w:numId w:val="2"/>
        </w:numPr>
        <w:spacing w:line="360" w:lineRule="auto"/>
        <w:ind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项目的绩效目标</w:t>
      </w:r>
      <w:r>
        <w:rPr>
          <w:rFonts w:hint="eastAsia" w:ascii="仿宋_GB2312" w:hAnsi="仿宋_GB2312" w:eastAsia="仿宋_GB2312"/>
          <w:sz w:val="32"/>
          <w:szCs w:val="32"/>
          <w:lang w:val="en-US" w:eastAsia="zh-CN"/>
        </w:rPr>
        <w:t>完成情况</w:t>
      </w:r>
      <w:r>
        <w:rPr>
          <w:rFonts w:hint="eastAsia" w:ascii="仿宋_GB2312" w:hAnsi="仿宋_GB2312" w:eastAsia="仿宋_GB2312"/>
          <w:sz w:val="32"/>
          <w:szCs w:val="32"/>
        </w:rPr>
        <w:t>（经济、政治和社会效益）。</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sz w:val="32"/>
          <w:szCs w:val="32"/>
        </w:rPr>
      </w:pPr>
      <w:r>
        <w:rPr>
          <w:rFonts w:hint="eastAsia" w:ascii="仿宋_GB2312" w:hAnsi="仿宋_GB2312" w:eastAsia="仿宋_GB2312"/>
          <w:sz w:val="32"/>
          <w:szCs w:val="32"/>
        </w:rPr>
        <w:t>完成红云水厂工程、大桥镇水厂及配套管网标准化建设工程、清溪洞饮水工程、必背镇千人以下饮水工程、一六镇扩网工程、东坪镇千人以下饮水工程、红星饮水工程、乳阳林场饮水工程、乳城镇千人以下饮水工程、洛阳镇千人以下饮水工程、大布镇千人以下饮水工程、大布镇水厂扩网工程</w:t>
      </w:r>
      <w:r>
        <w:rPr>
          <w:rFonts w:hint="eastAsia" w:ascii="仿宋_GB2312" w:hAnsi="仿宋_GB2312" w:eastAsia="仿宋_GB2312"/>
          <w:sz w:val="32"/>
          <w:szCs w:val="32"/>
          <w:lang w:eastAsia="zh-CN"/>
        </w:rPr>
        <w:t>等</w:t>
      </w:r>
      <w:r>
        <w:rPr>
          <w:rFonts w:hint="eastAsia" w:ascii="仿宋_GB2312" w:hAnsi="仿宋_GB2312" w:eastAsia="仿宋_GB2312"/>
          <w:sz w:val="32"/>
          <w:szCs w:val="32"/>
        </w:rPr>
        <w:t>十</w:t>
      </w:r>
      <w:r>
        <w:rPr>
          <w:rFonts w:hint="eastAsia" w:ascii="仿宋_GB2312" w:hAnsi="仿宋_GB2312" w:eastAsia="仿宋_GB2312"/>
          <w:sz w:val="32"/>
          <w:szCs w:val="32"/>
          <w:lang w:eastAsia="zh-CN"/>
        </w:rPr>
        <w:t>八</w:t>
      </w:r>
      <w:r>
        <w:rPr>
          <w:rFonts w:hint="eastAsia" w:ascii="仿宋_GB2312" w:hAnsi="仿宋_GB2312" w:eastAsia="仿宋_GB2312"/>
          <w:sz w:val="32"/>
          <w:szCs w:val="32"/>
        </w:rPr>
        <w:t>个项目的供水主支管道铺设（</w:t>
      </w:r>
      <w:r>
        <w:rPr>
          <w:rFonts w:hint="eastAsia" w:ascii="仿宋_GB2312" w:hAnsi="仿宋_GB2312" w:eastAsia="仿宋_GB2312"/>
          <w:sz w:val="32"/>
          <w:szCs w:val="32"/>
          <w:lang w:val="en-US" w:eastAsia="zh-CN"/>
        </w:rPr>
        <w:t>630.08</w:t>
      </w:r>
      <w:r>
        <w:rPr>
          <w:rFonts w:hint="eastAsia" w:ascii="仿宋_GB2312" w:hAnsi="仿宋_GB2312" w:eastAsia="仿宋_GB2312"/>
          <w:sz w:val="32"/>
          <w:szCs w:val="32"/>
        </w:rPr>
        <w:t>km），</w:t>
      </w:r>
      <w:r>
        <w:rPr>
          <w:rFonts w:hint="eastAsia" w:ascii="仿宋_GB2312" w:hAnsi="仿宋_GB2312" w:eastAsia="仿宋_GB2312"/>
          <w:sz w:val="32"/>
          <w:szCs w:val="32"/>
          <w:lang w:eastAsia="zh-CN"/>
        </w:rPr>
        <w:t>新建水池</w:t>
      </w:r>
      <w:r>
        <w:rPr>
          <w:rFonts w:hint="eastAsia" w:ascii="仿宋_GB2312" w:hAnsi="仿宋_GB2312" w:eastAsia="仿宋_GB2312"/>
          <w:sz w:val="32"/>
          <w:szCs w:val="32"/>
          <w:lang w:val="en-US" w:eastAsia="zh-CN"/>
        </w:rPr>
        <w:t>33座，</w:t>
      </w:r>
      <w:r>
        <w:rPr>
          <w:rFonts w:hint="eastAsia" w:ascii="仿宋_GB2312" w:hAnsi="仿宋_GB2312" w:eastAsia="仿宋_GB2312"/>
          <w:sz w:val="32"/>
          <w:szCs w:val="32"/>
        </w:rPr>
        <w:t>受益人口4.664万人；</w:t>
      </w:r>
      <w:r>
        <w:rPr>
          <w:rFonts w:hint="eastAsia" w:ascii="仿宋_GB2312" w:hAnsi="仿宋_GB2312" w:eastAsia="仿宋_GB2312"/>
          <w:sz w:val="32"/>
          <w:szCs w:val="32"/>
          <w:lang w:eastAsia="zh-CN"/>
        </w:rPr>
        <w:t>实现改善农村饮用水达标率</w:t>
      </w:r>
      <w:r>
        <w:rPr>
          <w:rFonts w:hint="eastAsia" w:ascii="仿宋_GB2312" w:hAnsi="仿宋_GB2312" w:eastAsia="仿宋_GB2312"/>
          <w:sz w:val="32"/>
          <w:szCs w:val="32"/>
        </w:rPr>
        <w:t>达到100%。</w:t>
      </w:r>
    </w:p>
    <w:p>
      <w:pPr>
        <w:numPr>
          <w:ilvl w:val="0"/>
          <w:numId w:val="2"/>
        </w:numPr>
        <w:spacing w:line="360" w:lineRule="auto"/>
        <w:ind w:left="0" w:leftChars="0" w:firstLine="640" w:firstLineChars="200"/>
        <w:rPr>
          <w:rFonts w:hint="eastAsia" w:ascii="仿宋_GB2312" w:hAnsi="仿宋_GB2312" w:eastAsia="仿宋_GB2312"/>
          <w:sz w:val="32"/>
          <w:szCs w:val="32"/>
        </w:rPr>
      </w:pPr>
      <w:r>
        <w:rPr>
          <w:rFonts w:hint="eastAsia" w:ascii="仿宋_GB2312" w:hAnsi="仿宋_GB2312" w:eastAsia="仿宋_GB2312"/>
          <w:sz w:val="32"/>
          <w:szCs w:val="32"/>
        </w:rPr>
        <w:t>项目资金使用效益，对环境、经济、社会的可持续影响。</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乳源瑶族自治县城乡供水一体化建设工程项目，为提高农村集中供水水质，优化乳源县农村供水格局，保障农村饮用水安全，全面提升农村供水保障水平，解决农村饮水各类问题，让广大农民群众喝上干净水、放心水、幸福水。</w:t>
      </w:r>
    </w:p>
    <w:p>
      <w:pPr>
        <w:numPr>
          <w:ilvl w:val="0"/>
          <w:numId w:val="1"/>
        </w:numPr>
        <w:spacing w:line="360" w:lineRule="auto"/>
        <w:ind w:left="0" w:leftChars="0" w:firstLine="640" w:firstLineChars="200"/>
        <w:rPr>
          <w:rFonts w:hint="eastAsia" w:ascii="仿宋_GB2312" w:eastAsia="仿宋_GB2312"/>
          <w:sz w:val="32"/>
          <w:szCs w:val="32"/>
        </w:rPr>
      </w:pPr>
      <w:r>
        <w:rPr>
          <w:rFonts w:hint="eastAsia" w:ascii="仿宋_GB2312" w:eastAsia="仿宋_GB2312"/>
          <w:sz w:val="32"/>
          <w:szCs w:val="32"/>
        </w:rPr>
        <w:t>存在问题。针对短板指标分析项目资金使用存在的问题和原因。</w:t>
      </w:r>
    </w:p>
    <w:p>
      <w:pPr>
        <w:numPr>
          <w:ilvl w:val="0"/>
          <w:numId w:val="0"/>
        </w:numPr>
        <w:spacing w:line="360" w:lineRule="auto"/>
        <w:ind w:firstLine="640" w:firstLineChars="200"/>
        <w:rPr>
          <w:rFonts w:hint="eastAsia" w:ascii="仿宋_GB2312" w:eastAsia="仿宋_GB2312"/>
          <w:sz w:val="32"/>
          <w:szCs w:val="32"/>
          <w:lang w:eastAsia="zh-CN"/>
        </w:rPr>
      </w:pPr>
      <w:r>
        <w:rPr>
          <w:rFonts w:hint="eastAsia" w:ascii="仿宋_GB2312" w:eastAsia="仿宋_GB2312"/>
          <w:sz w:val="32"/>
          <w:szCs w:val="32"/>
          <w:lang w:eastAsia="zh-CN"/>
        </w:rPr>
        <w:t>项目执行进度和效率有待加强，因水利工程受汛期影响较大，汛期期间的强降雨导致工程进度较慢，项目进度影响项目资金执行进度。</w:t>
      </w:r>
    </w:p>
    <w:p>
      <w:pPr>
        <w:spacing w:line="360" w:lineRule="auto"/>
        <w:ind w:firstLine="640" w:firstLineChars="200"/>
        <w:rPr>
          <w:rFonts w:ascii="黑体" w:eastAsia="黑体"/>
          <w:sz w:val="32"/>
          <w:szCs w:val="32"/>
        </w:rPr>
      </w:pPr>
      <w:r>
        <w:rPr>
          <w:rFonts w:hint="eastAsia" w:ascii="黑体" w:eastAsia="黑体"/>
          <w:sz w:val="32"/>
          <w:szCs w:val="32"/>
        </w:rPr>
        <w:t>三、改进意见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（一）强化资金使用监管</w:t>
      </w:r>
      <w:bookmarkStart w:id="0" w:name="_GoBack"/>
      <w:bookmarkEnd w:id="0"/>
      <w:r>
        <w:rPr>
          <w:rFonts w:hint="eastAsia" w:ascii="仿宋_GB2312" w:hAnsi="仿宋_GB2312" w:eastAsia="仿宋_GB2312"/>
          <w:sz w:val="32"/>
          <w:szCs w:val="32"/>
          <w:lang w:eastAsia="zh-CN"/>
        </w:rPr>
        <w:t>。要进一步提高思想认识，高度重视资金使用监管。建立健全资金使用监管长效机制，加强事前、事中、事后全过程监督，切实提高资金使用效益。加强资金使用和项目管理的审计、监督检查和绩效评价等工作，守住资金安全底线。</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640" w:firstLineChars="200"/>
        <w:textAlignment w:val="auto"/>
        <w:rPr>
          <w:rFonts w:hint="eastAsia" w:ascii="仿宋_GB2312" w:hAnsi="仿宋_GB2312" w:eastAsia="仿宋_GB2312"/>
          <w:sz w:val="32"/>
          <w:szCs w:val="32"/>
          <w:lang w:eastAsia="zh-CN"/>
        </w:rPr>
      </w:pPr>
      <w:r>
        <w:rPr>
          <w:rFonts w:hint="eastAsia" w:ascii="仿宋_GB2312" w:hAnsi="仿宋_GB2312" w:eastAsia="仿宋_GB2312"/>
          <w:sz w:val="32"/>
          <w:szCs w:val="32"/>
          <w:lang w:eastAsia="zh-CN"/>
        </w:rPr>
        <w:t>（二）完善工作方式方法，提高资金使用效益。应明确时间表、线路图，及时对照计划节点分析研判，及时解决项目实施过程中遇到的困难，督促加快项目实施进度。</w:t>
      </w:r>
    </w:p>
    <w:p/>
    <w:sectPr>
      <w:pgSz w:w="11906" w:h="16838"/>
      <w:pgMar w:top="1440" w:right="1800" w:bottom="1440" w:left="12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687F90"/>
    <w:multiLevelType w:val="singleLevel"/>
    <w:tmpl w:val="A0687F90"/>
    <w:lvl w:ilvl="0" w:tentative="0">
      <w:start w:val="3"/>
      <w:numFmt w:val="decimal"/>
      <w:suff w:val="nothing"/>
      <w:lvlText w:val="%1、"/>
      <w:lvlJc w:val="left"/>
    </w:lvl>
  </w:abstractNum>
  <w:abstractNum w:abstractNumId="1">
    <w:nsid w:val="16B97F2F"/>
    <w:multiLevelType w:val="singleLevel"/>
    <w:tmpl w:val="16B97F2F"/>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TMxYmJmOTFlZmFjMzdlMWVhOTEzMWYxZTFlYTM3MjYifQ=="/>
  </w:docVars>
  <w:rsids>
    <w:rsidRoot w:val="00F22CA7"/>
    <w:rsid w:val="000560B1"/>
    <w:rsid w:val="00182223"/>
    <w:rsid w:val="003B25CA"/>
    <w:rsid w:val="004903E7"/>
    <w:rsid w:val="00534213"/>
    <w:rsid w:val="006F6EA7"/>
    <w:rsid w:val="0087074D"/>
    <w:rsid w:val="00916C35"/>
    <w:rsid w:val="009C14D0"/>
    <w:rsid w:val="00E409B6"/>
    <w:rsid w:val="00EE444F"/>
    <w:rsid w:val="00F22CA7"/>
    <w:rsid w:val="0C3528F2"/>
    <w:rsid w:val="101E4855"/>
    <w:rsid w:val="1BEA0FB0"/>
    <w:rsid w:val="2A0C3112"/>
    <w:rsid w:val="35E7475E"/>
    <w:rsid w:val="37E41DC5"/>
    <w:rsid w:val="3C26642B"/>
    <w:rsid w:val="3FE97C47"/>
    <w:rsid w:val="468762A1"/>
    <w:rsid w:val="4F053EF0"/>
    <w:rsid w:val="508A08D4"/>
    <w:rsid w:val="5D31207E"/>
    <w:rsid w:val="67571878"/>
    <w:rsid w:val="7AE10C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0"/>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7"/>
    <w:semiHidden/>
    <w:unhideWhenUsed/>
    <w:qFormat/>
    <w:uiPriority w:val="99"/>
    <w:pPr>
      <w:tabs>
        <w:tab w:val="center" w:pos="4153"/>
        <w:tab w:val="right" w:pos="8306"/>
      </w:tabs>
      <w:snapToGrid w:val="0"/>
      <w:jc w:val="left"/>
    </w:pPr>
    <w:rPr>
      <w:sz w:val="18"/>
      <w:szCs w:val="18"/>
    </w:rPr>
  </w:style>
  <w:style w:type="paragraph" w:styleId="3">
    <w:name w:val="header"/>
    <w:basedOn w:val="1"/>
    <w:link w:val="6"/>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semiHidden/>
    <w:qFormat/>
    <w:uiPriority w:val="99"/>
    <w:rPr>
      <w:rFonts w:ascii="Times New Roman" w:hAnsi="Times New Roman" w:eastAsia="宋体" w:cs="Times New Roman"/>
      <w:sz w:val="18"/>
      <w:szCs w:val="18"/>
    </w:rPr>
  </w:style>
  <w:style w:type="character" w:customStyle="1" w:styleId="7">
    <w:name w:val="页脚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Microsoft</Company>
  <Pages>4</Pages>
  <Words>1953</Words>
  <Characters>2099</Characters>
  <Lines>1</Lines>
  <Paragraphs>1</Paragraphs>
  <TotalTime>2</TotalTime>
  <ScaleCrop>false</ScaleCrop>
  <LinksUpToDate>false</LinksUpToDate>
  <CharactersWithSpaces>2099</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2016-12-01T07:04:00Z</dcterms:created>
  <dc:creator>lenovo</dc:creator>
  <cp:lastModifiedBy>Astra。</cp:lastModifiedBy>
  <cp:lastPrinted>2018-10-25T02:57:00Z</cp:lastPrinted>
  <dcterms:modified xsi:type="dcterms:W3CDTF">2023-09-14T10:32:24Z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2677601028614DA1A96D8226E8DA2485</vt:lpwstr>
  </property>
</Properties>
</file>