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sz w:val="36"/>
          <w:szCs w:val="36"/>
        </w:rPr>
      </w:pPr>
      <w:r>
        <w:rPr>
          <w:rFonts w:hint="eastAsia" w:ascii="宋体" w:hAnsi="宋体"/>
          <w:b/>
          <w:sz w:val="36"/>
          <w:szCs w:val="36"/>
        </w:rPr>
        <w:t>财政支出项目绩效自评报告</w:t>
      </w:r>
    </w:p>
    <w:p>
      <w:pPr>
        <w:spacing w:line="560" w:lineRule="exact"/>
        <w:jc w:val="center"/>
        <w:rPr>
          <w:rFonts w:ascii="宋体" w:hAnsi="宋体"/>
          <w:b/>
          <w:sz w:val="36"/>
          <w:szCs w:val="36"/>
        </w:rPr>
      </w:pPr>
      <w:r>
        <w:rPr>
          <w:rFonts w:hint="eastAsia" w:ascii="宋体" w:hAnsi="宋体"/>
          <w:b/>
          <w:sz w:val="36"/>
          <w:szCs w:val="36"/>
        </w:rPr>
        <w:t>（劳动人事争议仲裁员办案补助经费）</w:t>
      </w:r>
    </w:p>
    <w:p>
      <w:pPr>
        <w:spacing w:line="560" w:lineRule="exact"/>
        <w:rPr>
          <w:rFonts w:ascii="仿宋_GB2312" w:eastAsia="仿宋_GB2312"/>
          <w:sz w:val="44"/>
          <w:szCs w:val="44"/>
        </w:rPr>
      </w:pP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pStyle w:val="9"/>
        <w:spacing w:line="560" w:lineRule="exact"/>
        <w:ind w:firstLine="803" w:firstLineChars="250"/>
        <w:rPr>
          <w:rFonts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（二）项目实施主要内容及实施程序。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对现有仲裁员、调解员处理用人单位与工作人员之间，因订立、履行、变更、解除和终止聘用合同，以及因执行国家、省和本单位依法规定的休息休假、社会保险、工资福利、劳动保护、培训、经济补偿或者赔偿等发生的人事争议进行调解和仲裁发放办案补助。</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（三）综述项目自评等级和分数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自评等级：优，分数98分。</w:t>
      </w:r>
    </w:p>
    <w:p>
      <w:pPr>
        <w:spacing w:line="560" w:lineRule="exact"/>
        <w:ind w:firstLine="640" w:firstLineChars="200"/>
        <w:rPr>
          <w:rFonts w:ascii="黑体" w:eastAsia="黑体"/>
          <w:sz w:val="32"/>
          <w:szCs w:val="32"/>
        </w:rPr>
      </w:pPr>
      <w:r>
        <w:rPr>
          <w:rFonts w:hint="eastAsia" w:ascii="黑体" w:eastAsia="黑体"/>
          <w:sz w:val="32"/>
          <w:szCs w:val="32"/>
        </w:rPr>
        <w:t>二、绩效表现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劳动人事争议调解仲裁员办案补助预算56500元，总支出56500元。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资金主要用于符合发放办案补贴案件94件，领取补助仲裁员8人(含审批、审核各1人)，办案辅助、书记员共2人。</w:t>
      </w:r>
      <w:r>
        <w:rPr>
          <w:rFonts w:ascii="仿宋_GB2312" w:eastAsia="仿宋_GB2312"/>
          <w:sz w:val="32"/>
          <w:szCs w:val="32"/>
        </w:rPr>
        <w:t xml:space="preserve"> </w:t>
      </w:r>
    </w:p>
    <w:p>
      <w:pPr>
        <w:numPr>
          <w:ilvl w:val="0"/>
          <w:numId w:val="1"/>
        </w:num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数量指标：办结案件数112件，符合申报办案补助案件94件。</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质量指标：结案率99.1%，调解率82.7%。</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成本指标：根据省人社厅 省财政厅《关于劳动人事争议仲裁委员会办案补助的通知》（粤人社发【2019】68号）标准发放仲裁员办案补助。专职仲裁员每结审一件案件补助200元-500元，兼职仲裁员每结审一件案件补助700元-1000元，办案辅助人员、书记员每结审一件案件补助50元，结案审批人员每结审一件案件补助100元。</w:t>
      </w:r>
    </w:p>
    <w:p>
      <w:pPr>
        <w:spacing w:line="560" w:lineRule="exact"/>
        <w:rPr>
          <w:rFonts w:ascii="仿宋_GB2312" w:hAnsi="仿宋_GB2312" w:eastAsia="仿宋_GB2312"/>
          <w:sz w:val="32"/>
          <w:szCs w:val="32"/>
        </w:rPr>
      </w:pPr>
      <w:r>
        <w:rPr>
          <w:rFonts w:hint="eastAsia" w:ascii="仿宋_GB2312" w:hAnsi="仿宋_GB2312" w:eastAsia="仿宋_GB2312"/>
          <w:sz w:val="32"/>
          <w:szCs w:val="32"/>
        </w:rPr>
        <w:t xml:space="preserve">    接待来访劳动者1150余人次，受理案件112件，审结案件112件，涉案金额300.3万元，极大的维护了劳动者的权益。</w:t>
      </w:r>
    </w:p>
    <w:p>
      <w:pPr>
        <w:numPr>
          <w:ilvl w:val="0"/>
          <w:numId w:val="1"/>
        </w:num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经济效益：为260名劳动者挽回了300.3万元经济损失。</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社会效益：加强了仲裁员职业保障，强化队伍建设。提高</w:t>
      </w:r>
    </w:p>
    <w:p>
      <w:pPr>
        <w:spacing w:line="560" w:lineRule="exact"/>
        <w:rPr>
          <w:rFonts w:ascii="仿宋_GB2312" w:hAnsi="仿宋_GB2312" w:eastAsia="仿宋_GB2312"/>
          <w:sz w:val="32"/>
          <w:szCs w:val="32"/>
        </w:rPr>
      </w:pPr>
      <w:r>
        <w:rPr>
          <w:rFonts w:hint="eastAsia" w:ascii="仿宋_GB2312" w:hAnsi="仿宋_GB2312" w:eastAsia="仿宋_GB2312"/>
          <w:sz w:val="32"/>
          <w:szCs w:val="32"/>
        </w:rPr>
        <w:t>了办案人员的工作积极性，保障了劳动者的合法权益。</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可持续影响效益：劳资关系和谐，减少了社会不稳定因素，</w:t>
      </w:r>
    </w:p>
    <w:p>
      <w:pPr>
        <w:spacing w:line="560" w:lineRule="exact"/>
        <w:rPr>
          <w:rFonts w:ascii="仿宋_GB2312" w:hAnsi="仿宋_GB2312" w:eastAsia="仿宋_GB2312"/>
          <w:sz w:val="32"/>
          <w:szCs w:val="32"/>
        </w:rPr>
      </w:pPr>
      <w:r>
        <w:rPr>
          <w:rFonts w:hint="eastAsia" w:ascii="仿宋_GB2312" w:eastAsia="仿宋_GB2312"/>
          <w:sz w:val="32"/>
          <w:szCs w:val="32"/>
        </w:rPr>
        <w:t>维护了社会稳定。</w:t>
      </w:r>
    </w:p>
    <w:p>
      <w:pPr>
        <w:numPr>
          <w:ilvl w:val="0"/>
          <w:numId w:val="2"/>
        </w:numPr>
        <w:spacing w:line="560" w:lineRule="exact"/>
        <w:ind w:firstLine="643" w:firstLineChars="200"/>
        <w:rPr>
          <w:rFonts w:ascii="仿宋_GB2312" w:eastAsia="仿宋_GB2312"/>
          <w:sz w:val="32"/>
          <w:szCs w:val="32"/>
        </w:rPr>
      </w:pPr>
      <w:r>
        <w:rPr>
          <w:rFonts w:hint="eastAsia" w:ascii="仿宋_GB2312" w:eastAsia="仿宋_GB2312"/>
          <w:b/>
          <w:bCs/>
          <w:sz w:val="32"/>
          <w:szCs w:val="32"/>
        </w:rPr>
        <w:t>存在问题。</w:t>
      </w:r>
    </w:p>
    <w:p>
      <w:pPr>
        <w:pStyle w:val="11"/>
        <w:ind w:firstLine="707" w:firstLineChars="221"/>
        <w:rPr>
          <w:rFonts w:ascii="仿宋_GB2312" w:hAnsi="仿宋_GB2312" w:eastAsia="仿宋_GB2312"/>
          <w:color w:val="auto"/>
          <w:sz w:val="32"/>
          <w:szCs w:val="32"/>
        </w:rPr>
      </w:pPr>
      <w:r>
        <w:rPr>
          <w:rFonts w:hint="eastAsia" w:ascii="仿宋_GB2312" w:hAnsi="仿宋_GB2312" w:eastAsia="仿宋_GB2312"/>
          <w:color w:val="auto"/>
          <w:sz w:val="32"/>
          <w:szCs w:val="32"/>
        </w:rPr>
        <w:t>一是未签订劳动合同引发争议案件增幅大。确认劳动关系争议案件占比最大，该争议集中发生在因补缴、工伤认定需要而提起，因未签订劳动合同引起，文件规定劳动关系争议不能调解结案，这对仲裁调解率造成极大的影响，导致近年来调解率增幅不大。</w:t>
      </w:r>
    </w:p>
    <w:p>
      <w:pPr>
        <w:pStyle w:val="10"/>
        <w:widowControl/>
        <w:spacing w:line="360" w:lineRule="auto"/>
        <w:ind w:firstLine="640" w:firstLineChars="200"/>
        <w:rPr>
          <w:rFonts w:ascii="仿宋_GB2312" w:hAnsi="仿宋_GB2312"/>
          <w:color w:val="auto"/>
        </w:rPr>
      </w:pPr>
      <w:r>
        <w:rPr>
          <w:rFonts w:hint="eastAsia" w:ascii="仿宋_GB2312" w:hAnsi="仿宋_GB2312"/>
          <w:color w:val="auto"/>
        </w:rPr>
        <w:t>二是用人单位制度不健全。发生争议的主体多为微小企业、个体户，如用工人数不足二十人企业、小水电站、个体经营户及初创业企业等，各项制度不健全，企业法律意识较为单薄。</w:t>
      </w:r>
    </w:p>
    <w:p>
      <w:pPr>
        <w:pStyle w:val="11"/>
        <w:spacing w:line="360" w:lineRule="auto"/>
        <w:ind w:left="420" w:firstLine="160" w:firstLineChars="50"/>
        <w:rPr>
          <w:rFonts w:ascii="仿宋_GB2312" w:hAnsi="仿宋_GB2312" w:eastAsia="仿宋_GB2312"/>
          <w:color w:val="auto"/>
          <w:sz w:val="32"/>
          <w:szCs w:val="32"/>
        </w:rPr>
      </w:pPr>
      <w:r>
        <w:rPr>
          <w:rFonts w:hint="eastAsia" w:ascii="仿宋_GB2312" w:hAnsi="仿宋_GB2312" w:eastAsia="仿宋_GB2312"/>
          <w:color w:val="auto"/>
          <w:sz w:val="32"/>
          <w:szCs w:val="32"/>
        </w:rPr>
        <w:t>三、改进意见</w:t>
      </w:r>
    </w:p>
    <w:p>
      <w:pPr>
        <w:ind w:firstLine="480" w:firstLineChars="150"/>
        <w:rPr>
          <w:rFonts w:ascii="仿宋_GB2312" w:hAnsi="仿宋_GB2312" w:eastAsia="仿宋_GB2312"/>
          <w:color w:val="auto"/>
          <w:sz w:val="32"/>
          <w:szCs w:val="32"/>
        </w:rPr>
      </w:pPr>
      <w:r>
        <w:rPr>
          <w:rFonts w:hint="eastAsia" w:ascii="仿宋_GB2312" w:hAnsi="仿宋_GB2312" w:eastAsia="仿宋_GB2312"/>
          <w:color w:val="auto"/>
          <w:sz w:val="32"/>
          <w:szCs w:val="32"/>
        </w:rPr>
        <w:t>（一）扎实做好劳动人事争议案件的审理工作。用好仲裁专递、网络庭审等便捷服务，为劳动者维权节约时间和成本。进一步探索对办案中发现的企业违法行为推送至劳动行政部门进行查处和监管模式。</w:t>
      </w:r>
    </w:p>
    <w:p>
      <w:pPr>
        <w:ind w:firstLine="579" w:firstLineChars="181"/>
        <w:rPr>
          <w:rFonts w:ascii="仿宋_GB2312" w:hAnsi="仿宋_GB2312" w:eastAsia="仿宋_GB2312"/>
          <w:color w:val="auto"/>
          <w:sz w:val="32"/>
          <w:szCs w:val="32"/>
        </w:rPr>
      </w:pPr>
      <w:r>
        <w:rPr>
          <w:rFonts w:hint="eastAsia" w:ascii="仿宋_GB2312" w:hAnsi="仿宋_GB2312" w:eastAsia="仿宋_GB2312"/>
          <w:color w:val="auto"/>
          <w:sz w:val="32"/>
          <w:szCs w:val="32"/>
        </w:rPr>
        <w:t>（二）加大争议案件调解力度。充分发挥劳动人事争议三方联合调解中心作用，集体案件立案前先经过三方联合调解中心调解，调解不成立即转入立案程序，指定专人建立调解台账及做好调解案件档案归档工作。</w:t>
      </w:r>
    </w:p>
    <w:p>
      <w:pPr>
        <w:pStyle w:val="11"/>
        <w:ind w:firstLine="419" w:firstLineChars="131"/>
        <w:rPr>
          <w:rFonts w:ascii="仿宋_GB2312" w:hAnsi="仿宋_GB2312" w:eastAsia="仿宋_GB2312"/>
          <w:color w:val="auto"/>
          <w:sz w:val="32"/>
          <w:szCs w:val="32"/>
        </w:rPr>
      </w:pPr>
      <w:r>
        <w:rPr>
          <w:rFonts w:hint="eastAsia" w:ascii="仿宋_GB2312" w:hAnsi="仿宋_GB2312" w:eastAsia="仿宋_GB2312"/>
          <w:color w:val="auto"/>
          <w:sz w:val="32"/>
          <w:szCs w:val="32"/>
        </w:rPr>
        <w:t>（三）扎实推进全流程网办。引导当事人在线申请、在线调解，更好的为当事人提供零跑腿的网上办服务，降低当事人的维权成本，让当事人感受到更直接、更实在的获得感、幸福感和安全感。</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 xml:space="preserve">根据《广东省人力资源和社会保障厅 广东省财政厅关于劳动人事争议仲裁委员会办案补助的通知》（粤人社发[2019]68号）的要求，从2019年6月1日起，对全省各级劳动人事争议仲裁委员会聘任的仲裁员和办案辅助人员发放办案补助，补助经费由同级财政按现行渠道保障。 </w:t>
      </w:r>
    </w:p>
    <w:p>
      <w:pPr>
        <w:spacing w:line="560" w:lineRule="exact"/>
        <w:ind w:firstLine="3200" w:firstLineChars="1000"/>
        <w:jc w:val="left"/>
        <w:rPr>
          <w:rFonts w:ascii="仿宋_GB2312" w:eastAsia="仿宋_GB2312"/>
          <w:sz w:val="32"/>
          <w:szCs w:val="32"/>
        </w:rPr>
      </w:pPr>
    </w:p>
    <w:p>
      <w:pPr>
        <w:spacing w:line="560" w:lineRule="exact"/>
        <w:ind w:firstLine="3200" w:firstLineChars="1000"/>
        <w:jc w:val="left"/>
        <w:rPr>
          <w:rFonts w:ascii="仿宋_GB2312" w:eastAsia="仿宋_GB2312"/>
          <w:sz w:val="32"/>
          <w:szCs w:val="32"/>
        </w:rPr>
      </w:pPr>
      <w:r>
        <w:rPr>
          <w:rFonts w:hint="eastAsia" w:ascii="仿宋_GB2312" w:eastAsia="仿宋_GB2312"/>
          <w:sz w:val="32"/>
          <w:szCs w:val="32"/>
        </w:rPr>
        <w:t>乳源瑶族自治县人力资源和社会保障局</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 xml:space="preserve">                      2023年</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月29日</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57E34CDA"/>
    <w:multiLevelType w:val="singleLevel"/>
    <w:tmpl w:val="57E34CDA"/>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0C56"/>
    <w:rsid w:val="00032918"/>
    <w:rsid w:val="001451C7"/>
    <w:rsid w:val="001A20FD"/>
    <w:rsid w:val="001F7C94"/>
    <w:rsid w:val="002130F2"/>
    <w:rsid w:val="00297398"/>
    <w:rsid w:val="002A73F5"/>
    <w:rsid w:val="005223A1"/>
    <w:rsid w:val="00543743"/>
    <w:rsid w:val="005A1095"/>
    <w:rsid w:val="005D6659"/>
    <w:rsid w:val="006B5479"/>
    <w:rsid w:val="00825AA4"/>
    <w:rsid w:val="008573D9"/>
    <w:rsid w:val="008A442D"/>
    <w:rsid w:val="00945BF9"/>
    <w:rsid w:val="0095768C"/>
    <w:rsid w:val="00B653DA"/>
    <w:rsid w:val="00B80C56"/>
    <w:rsid w:val="00B97753"/>
    <w:rsid w:val="00C32B73"/>
    <w:rsid w:val="00D761FC"/>
    <w:rsid w:val="00F322CF"/>
    <w:rsid w:val="00F66C6C"/>
    <w:rsid w:val="47541D8D"/>
    <w:rsid w:val="47B16CDB"/>
    <w:rsid w:val="5B633215"/>
    <w:rsid w:val="6FFF6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rFonts w:ascii="Tahoma" w:hAnsi="Tahoma"/>
      <w:sz w:val="18"/>
      <w:szCs w:val="18"/>
    </w:rPr>
  </w:style>
  <w:style w:type="character" w:customStyle="1" w:styleId="8">
    <w:name w:val="页脚 Char"/>
    <w:basedOn w:val="6"/>
    <w:link w:val="2"/>
    <w:semiHidden/>
    <w:qFormat/>
    <w:uiPriority w:val="99"/>
    <w:rPr>
      <w:rFonts w:ascii="Tahoma" w:hAnsi="Tahoma"/>
      <w:sz w:val="18"/>
      <w:szCs w:val="18"/>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正文 New New New New New New New New New New New New New New New"/>
    <w:basedOn w:val="1"/>
    <w:qFormat/>
    <w:uiPriority w:val="0"/>
    <w:rPr>
      <w:rFonts w:eastAsia="仿宋_GB2312"/>
      <w:sz w:val="32"/>
      <w:szCs w:val="32"/>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238</Words>
  <Characters>1363</Characters>
  <Lines>11</Lines>
  <Paragraphs>3</Paragraphs>
  <TotalTime>1</TotalTime>
  <ScaleCrop>false</ScaleCrop>
  <LinksUpToDate>false</LinksUpToDate>
  <CharactersWithSpaces>1598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2023-06-05T06:57:00Z</dcterms:created>
  <dc:creator>陈冬桃</dc:creator>
  <cp:lastModifiedBy>lenovo</cp:lastModifiedBy>
  <dcterms:modified xsi:type="dcterms:W3CDTF">2023-06-06T01:08:50Z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1019534399_btnclosed</vt:lpwstr>
  </property>
  <property fmtid="{D5CDD505-2E9C-101B-9397-08002B2CF9AE}" pid="3" name="KSOProductBuildVer">
    <vt:lpwstr>2052-11.8.2.11716</vt:lpwstr>
  </property>
  <property fmtid="{D5CDD505-2E9C-101B-9397-08002B2CF9AE}" pid="4" name="ICV">
    <vt:lpwstr>6952B70A66EC41FF8236D31EBDDE9AAA</vt:lpwstr>
  </property>
</Properties>
</file>