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（劳动人事争议调解仲裁工作经费）</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pStyle w:val="10"/>
        <w:spacing w:line="500" w:lineRule="exact"/>
        <w:ind w:firstLine="803" w:firstLineChars="250"/>
        <w:rPr>
          <w:rFonts w:ascii="仿宋" w:hAnsi="仿宋" w:eastAsia="仿宋"/>
          <w:b/>
          <w:bCs/>
          <w:sz w:val="32"/>
          <w:szCs w:val="32"/>
        </w:rPr>
      </w:pPr>
      <w:r>
        <w:rPr>
          <w:rFonts w:hint="eastAsia" w:ascii="仿宋" w:hAnsi="仿宋" w:eastAsia="仿宋"/>
          <w:b/>
          <w:bCs/>
          <w:sz w:val="32"/>
          <w:szCs w:val="32"/>
        </w:rPr>
        <w:t>（一）单位概况</w:t>
      </w:r>
    </w:p>
    <w:p>
      <w:pPr>
        <w:spacing w:line="560" w:lineRule="exact"/>
        <w:ind w:firstLine="640" w:firstLineChars="200"/>
        <w:rPr>
          <w:rFonts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职业建设股。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lang w:val="en-US" w:eastAsia="zh-CN"/>
        </w:rPr>
        <w:t>2022年12月根据乳机编[2022]22号新设立单位</w:t>
      </w:r>
      <w:r>
        <w:rPr>
          <w:rFonts w:hint="eastAsia" w:ascii="仿宋" w:hAnsi="仿宋" w:eastAsia="仿宋" w:cs="方正仿宋简体"/>
          <w:sz w:val="32"/>
          <w:szCs w:val="32"/>
          <w:lang w:eastAsia="zh-CN"/>
        </w:rPr>
        <w:t>）</w:t>
      </w:r>
      <w:r>
        <w:rPr>
          <w:rFonts w:hint="eastAsia" w:ascii="仿宋" w:hAnsi="仿宋" w:eastAsia="仿宋" w:cs="方正仿宋简体"/>
          <w:sz w:val="32"/>
          <w:szCs w:val="32"/>
        </w:rPr>
        <w:t>。</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对用人单位与工作人员之间，因订立、履行、变更、解除和终止聘用合同，以及因执行国家、省和本单位依法规定的休息休假、社会保险、工资福利、劳动保护、培训、经济补偿或者赔偿等发生的人事争议进行调解和仲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（三）综述项目自评等级和分数。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自评等级：优，分数98分。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劳动人事争议调解仲裁工作经费</w:t>
      </w:r>
      <w:r>
        <w:rPr>
          <w:rFonts w:hint="eastAsia" w:ascii="仿宋_GB2312" w:hAnsi="仿宋_GB2312" w:eastAsia="仿宋_GB2312"/>
          <w:sz w:val="32"/>
          <w:szCs w:val="32"/>
          <w:lang w:eastAsia="zh-CN"/>
        </w:rPr>
        <w:t>年度资金安排</w:t>
      </w:r>
      <w:r>
        <w:rPr>
          <w:rFonts w:hint="eastAsia" w:ascii="仿宋_GB2312" w:hAnsi="仿宋_GB2312" w:eastAsia="仿宋_GB2312"/>
          <w:sz w:val="32"/>
          <w:szCs w:val="32"/>
        </w:rPr>
        <w:t>12316元，总支出10636元</w:t>
      </w:r>
      <w:r>
        <w:rPr>
          <w:rFonts w:hint="eastAsia" w:ascii="仿宋_GB2312" w:hAnsi="仿宋_GB2312" w:eastAsia="仿宋_GB2312"/>
          <w:sz w:val="32"/>
          <w:szCs w:val="32"/>
          <w:lang w:eastAsia="zh-CN"/>
        </w:rPr>
        <w:t>，支出</w:t>
      </w:r>
      <w:r>
        <w:rPr>
          <w:rFonts w:hint="eastAsia" w:ascii="仿宋_GB2312" w:hAnsi="仿宋_GB2312" w:eastAsia="仿宋_GB2312"/>
          <w:sz w:val="32"/>
          <w:szCs w:val="32"/>
          <w:lang w:val="en-US" w:eastAsia="zh-CN"/>
        </w:rPr>
        <w:t>86.36%，支出未完成的原因是因疫情影响，省人社厅原计划2022年4月开展线下仲裁员培训取消，培训费和差旅费未支出</w:t>
      </w:r>
      <w:r>
        <w:rPr>
          <w:rFonts w:hint="eastAsia" w:ascii="仿宋_GB2312" w:hAnsi="仿宋_GB2312" w:eastAsia="仿宋_GB2312"/>
          <w:sz w:val="32"/>
          <w:szCs w:val="32"/>
        </w:rPr>
        <w:t>。</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 。</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项目资金实际支出10636元，主要用于</w:t>
      </w:r>
      <w:r>
        <w:rPr>
          <w:rFonts w:hint="eastAsia" w:ascii="仿宋_GB2312" w:hAnsi="仿宋_GB2312" w:eastAsia="仿宋_GB2312"/>
          <w:sz w:val="32"/>
          <w:szCs w:val="32"/>
          <w:lang w:eastAsia="zh-CN"/>
        </w:rPr>
        <w:t>购买仲裁员服装、、仲裁案件资料送达邮寄费、仲裁案件登报公示等费用</w:t>
      </w:r>
      <w:r>
        <w:rPr>
          <w:rFonts w:hint="eastAsia" w:ascii="仿宋_GB2312" w:hAnsi="仿宋_GB2312" w:eastAsia="仿宋_GB2312"/>
          <w:sz w:val="32"/>
          <w:szCs w:val="32"/>
        </w:rPr>
        <w:t>。</w:t>
      </w:r>
    </w:p>
    <w:p>
      <w:pPr>
        <w:numPr>
          <w:ilvl w:val="0"/>
          <w:numId w:val="1"/>
        </w:numPr>
        <w:spacing w:line="360" w:lineRule="auto"/>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项目的绩效目标完成情况。</w:t>
      </w:r>
    </w:p>
    <w:p>
      <w:pPr>
        <w:spacing w:line="360" w:lineRule="auto"/>
        <w:ind w:firstLine="645"/>
        <w:jc w:val="left"/>
        <w:rPr>
          <w:rFonts w:ascii="仿宋_GB2312" w:hAnsi="仿宋_GB2312" w:eastAsia="仿宋_GB2312"/>
          <w:color w:val="auto"/>
          <w:sz w:val="32"/>
          <w:szCs w:val="32"/>
        </w:rPr>
      </w:pPr>
      <w:r>
        <w:rPr>
          <w:rFonts w:hint="eastAsia" w:ascii="仿宋_GB2312" w:hAnsi="仿宋_GB2312" w:eastAsia="仿宋_GB2312"/>
          <w:color w:val="auto"/>
          <w:sz w:val="32"/>
          <w:szCs w:val="32"/>
        </w:rPr>
        <w:t>数量指标：接待来访群众1150余人次，办结案件112件；新增仲裁员1人。</w:t>
      </w:r>
      <w:bookmarkStart w:id="0" w:name="_GoBack"/>
      <w:bookmarkEnd w:id="0"/>
    </w:p>
    <w:p>
      <w:pPr>
        <w:spacing w:line="360" w:lineRule="auto"/>
        <w:ind w:firstLine="645"/>
        <w:rPr>
          <w:rFonts w:ascii="仿宋_GB2312" w:hAnsi="仿宋_GB2312" w:eastAsia="仿宋_GB2312"/>
          <w:color w:val="auto"/>
          <w:sz w:val="32"/>
          <w:szCs w:val="32"/>
        </w:rPr>
      </w:pPr>
      <w:r>
        <w:rPr>
          <w:rFonts w:hint="eastAsia" w:ascii="仿宋_GB2312" w:hAnsi="仿宋_GB2312" w:eastAsia="仿宋_GB2312"/>
          <w:color w:val="auto"/>
          <w:sz w:val="32"/>
          <w:szCs w:val="32"/>
        </w:rPr>
        <w:t>质量指标：劳动人事争议仲裁结案率为99.1%（下达任务值为95%），劳动人事争议调解率为82.7%（下达任务值为75%）；新领证仲裁员考试合格率100%；新购置</w:t>
      </w:r>
      <w:r>
        <w:rPr>
          <w:rFonts w:hint="eastAsia" w:ascii="仿宋_GB2312" w:hAnsi="仿宋_GB2312" w:eastAsia="仿宋_GB2312"/>
          <w:color w:val="auto"/>
          <w:sz w:val="32"/>
          <w:szCs w:val="32"/>
          <w:lang w:eastAsia="zh-CN"/>
        </w:rPr>
        <w:t>仲裁员服装</w:t>
      </w:r>
      <w:r>
        <w:rPr>
          <w:rFonts w:hint="eastAsia" w:ascii="仿宋_GB2312" w:hAnsi="仿宋_GB2312" w:eastAsia="仿宋_GB2312"/>
          <w:color w:val="auto"/>
          <w:sz w:val="32"/>
          <w:szCs w:val="32"/>
        </w:rPr>
        <w:t>质量验收合格率100%。</w:t>
      </w:r>
    </w:p>
    <w:p>
      <w:pPr>
        <w:numPr>
          <w:ilvl w:val="0"/>
          <w:numId w:val="1"/>
        </w:numPr>
        <w:spacing w:line="360" w:lineRule="auto"/>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项目资金使用效益</w:t>
      </w:r>
    </w:p>
    <w:p>
      <w:pPr>
        <w:spacing w:line="360" w:lineRule="auto"/>
        <w:ind w:left="420" w:leftChars="200" w:firstLine="320" w:firstLineChars="100"/>
        <w:rPr>
          <w:rFonts w:ascii="仿宋_GB2312" w:hAnsi="仿宋_GB2312" w:eastAsia="仿宋_GB2312"/>
          <w:color w:val="auto"/>
          <w:sz w:val="32"/>
          <w:szCs w:val="32"/>
        </w:rPr>
      </w:pPr>
      <w:r>
        <w:rPr>
          <w:rFonts w:hint="eastAsia" w:ascii="仿宋_GB2312" w:hAnsi="仿宋_GB2312" w:eastAsia="仿宋_GB2312"/>
          <w:color w:val="auto"/>
          <w:sz w:val="32"/>
          <w:szCs w:val="32"/>
        </w:rPr>
        <w:t>经济效益：为260名劳动者挽回了300.3万元经济损失。</w:t>
      </w:r>
    </w:p>
    <w:p>
      <w:pPr>
        <w:spacing w:line="360" w:lineRule="auto"/>
        <w:ind w:left="420" w:leftChars="200" w:firstLine="320" w:firstLineChars="100"/>
        <w:rPr>
          <w:rFonts w:ascii="仿宋_GB2312" w:hAnsi="仿宋_GB2312" w:eastAsia="仿宋_GB2312"/>
          <w:color w:val="auto"/>
          <w:sz w:val="32"/>
          <w:szCs w:val="32"/>
        </w:rPr>
      </w:pPr>
      <w:r>
        <w:rPr>
          <w:rFonts w:hint="eastAsia" w:ascii="仿宋_GB2312" w:hAnsi="仿宋_GB2312" w:eastAsia="仿宋_GB2312"/>
          <w:color w:val="auto"/>
          <w:sz w:val="32"/>
          <w:szCs w:val="32"/>
        </w:rPr>
        <w:t>社会效益：通过学习各类劳动争议的处理技巧、新法规的</w:t>
      </w:r>
    </w:p>
    <w:p>
      <w:pPr>
        <w:spacing w:line="360" w:lineRule="auto"/>
        <w:rPr>
          <w:rFonts w:ascii="仿宋_GB2312" w:hAnsi="仿宋_GB2312" w:eastAsia="仿宋_GB2312"/>
          <w:color w:val="auto"/>
          <w:sz w:val="32"/>
          <w:szCs w:val="32"/>
        </w:rPr>
      </w:pPr>
      <w:r>
        <w:rPr>
          <w:rFonts w:hint="eastAsia" w:ascii="仿宋_GB2312" w:hAnsi="仿宋_GB2312" w:eastAsia="仿宋_GB2312"/>
          <w:color w:val="auto"/>
          <w:sz w:val="32"/>
          <w:szCs w:val="32"/>
        </w:rPr>
        <w:t>应用、调解技巧，使仲裁员整体业务水平得到提高。规范仲裁员办案着装，优化办案质量。增加了现有仲裁员数量，提高了为群众办理仲裁案件的效率，维护了劳动者的合法权益。</w:t>
      </w:r>
    </w:p>
    <w:p>
      <w:pPr>
        <w:spacing w:line="360" w:lineRule="auto"/>
        <w:ind w:left="420" w:leftChars="200" w:firstLine="320" w:firstLineChars="100"/>
        <w:rPr>
          <w:rFonts w:ascii="仿宋_GB2312" w:hAnsi="仿宋_GB2312" w:eastAsia="仿宋_GB2312"/>
          <w:color w:val="auto"/>
          <w:sz w:val="32"/>
          <w:szCs w:val="32"/>
        </w:rPr>
      </w:pPr>
      <w:r>
        <w:rPr>
          <w:rFonts w:hint="eastAsia" w:ascii="仿宋_GB2312" w:hAnsi="仿宋_GB2312" w:eastAsia="仿宋_GB2312"/>
          <w:color w:val="auto"/>
          <w:sz w:val="32"/>
          <w:szCs w:val="32"/>
        </w:rPr>
        <w:t>可持续影响效益：劳资关系和谐，减少了社会不稳定因素，</w:t>
      </w:r>
    </w:p>
    <w:p>
      <w:pPr>
        <w:spacing w:line="360" w:lineRule="auto"/>
        <w:rPr>
          <w:rFonts w:ascii="仿宋_GB2312" w:hAnsi="仿宋_GB2312" w:eastAsia="仿宋_GB2312"/>
          <w:color w:val="auto"/>
          <w:sz w:val="32"/>
          <w:szCs w:val="32"/>
        </w:rPr>
      </w:pPr>
      <w:r>
        <w:rPr>
          <w:rFonts w:hint="eastAsia" w:ascii="仿宋_GB2312" w:eastAsia="仿宋_GB2312"/>
          <w:color w:val="auto"/>
          <w:sz w:val="32"/>
          <w:szCs w:val="32"/>
        </w:rPr>
        <w:t>维护了社会稳定。</w:t>
      </w:r>
    </w:p>
    <w:p>
      <w:pPr>
        <w:numPr>
          <w:ilvl w:val="0"/>
          <w:numId w:val="2"/>
        </w:numPr>
        <w:spacing w:line="600" w:lineRule="exact"/>
        <w:ind w:firstLine="643" w:firstLineChars="200"/>
        <w:rPr>
          <w:rFonts w:ascii="仿宋_GB2312" w:eastAsia="仿宋_GB2312"/>
          <w:color w:val="auto"/>
          <w:sz w:val="32"/>
          <w:szCs w:val="32"/>
        </w:rPr>
      </w:pPr>
      <w:r>
        <w:rPr>
          <w:rFonts w:hint="eastAsia" w:ascii="仿宋_GB2312" w:eastAsia="仿宋_GB2312"/>
          <w:b/>
          <w:bCs/>
          <w:color w:val="auto"/>
          <w:sz w:val="32"/>
          <w:szCs w:val="32"/>
        </w:rPr>
        <w:t>存在问题。</w:t>
      </w:r>
    </w:p>
    <w:p>
      <w:pPr>
        <w:pStyle w:val="11"/>
        <w:ind w:left="142" w:firstLine="614" w:firstLineChars="192"/>
        <w:rPr>
          <w:rFonts w:ascii="仿宋_GB2312" w:hAnsi="仿宋_GB2312" w:eastAsia="仿宋_GB2312"/>
          <w:color w:val="auto"/>
          <w:sz w:val="32"/>
          <w:szCs w:val="32"/>
        </w:rPr>
      </w:pPr>
      <w:r>
        <w:rPr>
          <w:rFonts w:hint="eastAsia" w:ascii="仿宋_GB2312" w:hAnsi="仿宋_GB2312" w:eastAsia="仿宋_GB2312"/>
          <w:color w:val="auto"/>
          <w:sz w:val="32"/>
          <w:szCs w:val="32"/>
        </w:rPr>
        <w:t>一是未签订劳动合同引发争议案件增幅大。确认劳动关系争议案件占比最大，该争议集中发生在因补缴、工伤认定需要而提起，因未签订劳动合同引起，文件规定劳动关系争议不能调解结案，这对仲裁调解率造成极大的影响，导致近年来调解率增幅不大。</w:t>
      </w:r>
    </w:p>
    <w:p>
      <w:pPr>
        <w:pStyle w:val="9"/>
        <w:widowControl/>
        <w:spacing w:line="360" w:lineRule="auto"/>
        <w:ind w:firstLine="681" w:firstLineChars="213"/>
        <w:rPr>
          <w:rFonts w:ascii="仿宋_GB2312" w:hAnsi="仿宋_GB2312"/>
          <w:color w:val="auto"/>
        </w:rPr>
      </w:pPr>
      <w:r>
        <w:rPr>
          <w:rFonts w:hint="eastAsia" w:ascii="仿宋_GB2312" w:hAnsi="仿宋_GB2312"/>
          <w:color w:val="auto"/>
        </w:rPr>
        <w:t>二是用人单位制度不健全。发生争议的主体多为微小企业、个体户，如用工人数不足二十人企业、小水电站、个体经营户及初创业企业等，各项制度不健全，企业法律意识较为单薄。</w:t>
      </w:r>
    </w:p>
    <w:p>
      <w:pPr>
        <w:spacing w:line="360" w:lineRule="auto"/>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三、改进意见</w:t>
      </w:r>
    </w:p>
    <w:p>
      <w:pPr>
        <w:ind w:firstLine="787" w:firstLineChars="246"/>
        <w:rPr>
          <w:rFonts w:ascii="仿宋_GB2312" w:hAnsi="仿宋_GB2312" w:eastAsia="仿宋_GB2312"/>
          <w:color w:val="auto"/>
          <w:sz w:val="32"/>
          <w:szCs w:val="32"/>
        </w:rPr>
      </w:pPr>
      <w:r>
        <w:rPr>
          <w:rFonts w:hint="eastAsia" w:ascii="仿宋_GB2312" w:hAnsi="仿宋_GB2312" w:eastAsia="仿宋_GB2312"/>
          <w:color w:val="auto"/>
          <w:sz w:val="32"/>
          <w:szCs w:val="32"/>
        </w:rPr>
        <w:t>（一）扎实做好劳动人事争议案件的审理工作。用好仲裁专递、网络庭审等便捷服务，为劳动者维权节约时间和成本。进一步探索对办案中发现的企业违法行为推送至劳动行政部门进行查处和监管模式。</w:t>
      </w:r>
    </w:p>
    <w:p>
      <w:pPr>
        <w:ind w:firstLine="480" w:firstLineChars="150"/>
        <w:rPr>
          <w:rFonts w:ascii="仿宋_GB2312" w:hAnsi="仿宋_GB2312" w:eastAsia="仿宋_GB2312"/>
          <w:color w:val="auto"/>
          <w:sz w:val="32"/>
          <w:szCs w:val="32"/>
        </w:rPr>
      </w:pPr>
      <w:r>
        <w:rPr>
          <w:rFonts w:hint="eastAsia" w:ascii="仿宋_GB2312" w:hAnsi="仿宋_GB2312" w:eastAsia="仿宋_GB2312"/>
          <w:color w:val="auto"/>
          <w:sz w:val="32"/>
          <w:szCs w:val="32"/>
        </w:rPr>
        <w:t>（二）加大争议案件调解力度。充分发挥劳动人事争议三方联合调解中心作用，集体案件立案前先经过三方联合调解中心调解，调解不成立即转入立案程序，指定专人建立调解台账及做好调解案件档案归档工作。</w:t>
      </w:r>
    </w:p>
    <w:p>
      <w:pPr>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（三）扎实推进全流程网办。引导当事人在线申请、在线调解，更好的为当事人提供零跑腿的网上办服务，降低当事人的维权成本，让当事人感受到更直接、更实在的获得感、幸福感和安全感。</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p>
      <w:pPr>
        <w:spacing w:line="600" w:lineRule="exact"/>
        <w:ind w:firstLine="3200" w:firstLineChars="1000"/>
        <w:jc w:val="left"/>
        <w:rPr>
          <w:rFonts w:ascii="仿宋_GB2312" w:eastAsia="仿宋_GB2312"/>
          <w:sz w:val="32"/>
          <w:szCs w:val="32"/>
        </w:rPr>
      </w:pPr>
      <w:r>
        <w:rPr>
          <w:rFonts w:hint="eastAsia" w:ascii="仿宋_GB2312" w:eastAsia="仿宋_GB2312"/>
          <w:sz w:val="32"/>
          <w:szCs w:val="32"/>
        </w:rPr>
        <w:t>乳源瑶族自治县人力资源和社会保障局</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 xml:space="preserve">                      2023年5月29日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57E34CDA"/>
    <w:multiLevelType w:val="singleLevel"/>
    <w:tmpl w:val="57E34CDA"/>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03E2C"/>
    <w:rsid w:val="000560B1"/>
    <w:rsid w:val="001617CB"/>
    <w:rsid w:val="00182223"/>
    <w:rsid w:val="001F2327"/>
    <w:rsid w:val="002F67CB"/>
    <w:rsid w:val="003B25CA"/>
    <w:rsid w:val="004903E7"/>
    <w:rsid w:val="004A316C"/>
    <w:rsid w:val="00516FA1"/>
    <w:rsid w:val="00534213"/>
    <w:rsid w:val="00570085"/>
    <w:rsid w:val="0058543F"/>
    <w:rsid w:val="0068019E"/>
    <w:rsid w:val="006F6EA7"/>
    <w:rsid w:val="007E6AB0"/>
    <w:rsid w:val="00830028"/>
    <w:rsid w:val="0087074D"/>
    <w:rsid w:val="00916C35"/>
    <w:rsid w:val="009B2AEC"/>
    <w:rsid w:val="009C14D0"/>
    <w:rsid w:val="00AE69FD"/>
    <w:rsid w:val="00CE1A42"/>
    <w:rsid w:val="00D25CB3"/>
    <w:rsid w:val="00D61A39"/>
    <w:rsid w:val="00DE0058"/>
    <w:rsid w:val="00E409B6"/>
    <w:rsid w:val="00ED0FF6"/>
    <w:rsid w:val="00EE444F"/>
    <w:rsid w:val="00F22CA7"/>
    <w:rsid w:val="00F45F2A"/>
    <w:rsid w:val="0D281969"/>
    <w:rsid w:val="1BEA0FB0"/>
    <w:rsid w:val="1C11308B"/>
    <w:rsid w:val="2384573D"/>
    <w:rsid w:val="2A0C3112"/>
    <w:rsid w:val="39921607"/>
    <w:rsid w:val="3C1D273E"/>
    <w:rsid w:val="468762A1"/>
    <w:rsid w:val="5375086E"/>
    <w:rsid w:val="5BFF7A0A"/>
    <w:rsid w:val="65792A57"/>
    <w:rsid w:val="6B2B2120"/>
    <w:rsid w:val="6E56628D"/>
    <w:rsid w:val="6F6A5072"/>
    <w:rsid w:val="797C1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 w:type="paragraph" w:customStyle="1" w:styleId="9">
    <w:name w:val="正文 New New New New New New New New New New New New New New New"/>
    <w:basedOn w:val="1"/>
    <w:qFormat/>
    <w:uiPriority w:val="0"/>
    <w:rPr>
      <w:rFonts w:eastAsia="仿宋_GB2312"/>
      <w:sz w:val="32"/>
      <w:szCs w:val="32"/>
    </w:rPr>
  </w:style>
  <w:style w:type="paragraph" w:customStyle="1" w:styleId="10">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11">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209</Words>
  <Characters>1197</Characters>
  <Lines>9</Lines>
  <Paragraphs>2</Paragraphs>
  <TotalTime>5</TotalTime>
  <ScaleCrop>false</ScaleCrop>
  <LinksUpToDate>false</LinksUpToDate>
  <CharactersWithSpaces>1404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2023-06-05T06:57:00Z</dcterms:created>
  <dc:creator>lenovo</dc:creator>
  <cp:lastModifiedBy>lenovo</cp:lastModifiedBy>
  <cp:lastPrinted>2018-10-25T02:57:00Z</cp:lastPrinted>
  <dcterms:modified xsi:type="dcterms:W3CDTF">2023-06-06T01:06:31Z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1019534399_btnclosed</vt:lpwstr>
  </property>
  <property fmtid="{D5CDD505-2E9C-101B-9397-08002B2CF9AE}" pid="4" name="ICV">
    <vt:lpwstr>8A395686F8C541899AE08CFE459A1898</vt:lpwstr>
  </property>
</Properties>
</file>