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hAnsi="宋体"/>
          <w:b/>
          <w:sz w:val="36"/>
          <w:szCs w:val="36"/>
        </w:rPr>
      </w:pPr>
      <w:r>
        <w:rPr>
          <w:rFonts w:hint="eastAsia" w:ascii="宋体" w:hAnsi="宋体"/>
          <w:b/>
          <w:sz w:val="36"/>
          <w:szCs w:val="36"/>
        </w:rPr>
        <w:t>乳源瑶族自治县人力资源和社会保障局</w:t>
      </w:r>
    </w:p>
    <w:p>
      <w:pPr>
        <w:spacing w:line="600" w:lineRule="exact"/>
        <w:jc w:val="center"/>
        <w:rPr>
          <w:rFonts w:ascii="宋体" w:hAnsi="宋体"/>
          <w:b/>
          <w:sz w:val="36"/>
          <w:szCs w:val="36"/>
        </w:rPr>
      </w:pPr>
      <w:r>
        <w:rPr>
          <w:rFonts w:hint="eastAsia" w:ascii="宋体" w:hAnsi="宋体"/>
          <w:b/>
          <w:sz w:val="36"/>
          <w:szCs w:val="36"/>
        </w:rPr>
        <w:t>202</w:t>
      </w:r>
      <w:r>
        <w:rPr>
          <w:rFonts w:hint="eastAsia" w:ascii="宋体" w:hAnsi="宋体"/>
          <w:b/>
          <w:sz w:val="36"/>
          <w:szCs w:val="36"/>
          <w:lang w:val="en-US" w:eastAsia="zh-CN"/>
        </w:rPr>
        <w:t>2</w:t>
      </w:r>
      <w:r>
        <w:rPr>
          <w:rFonts w:hint="eastAsia" w:ascii="宋体" w:hAnsi="宋体"/>
          <w:b/>
          <w:sz w:val="36"/>
          <w:szCs w:val="36"/>
        </w:rPr>
        <w:t>年部门整体支出绩效自评报告</w:t>
      </w:r>
    </w:p>
    <w:p>
      <w:pPr>
        <w:spacing w:line="600" w:lineRule="exact"/>
        <w:rPr>
          <w:rFonts w:ascii="仿宋_GB2312" w:eastAsia="仿宋_GB2312"/>
          <w:sz w:val="44"/>
          <w:szCs w:val="44"/>
        </w:rPr>
      </w:pPr>
    </w:p>
    <w:p>
      <w:pPr>
        <w:spacing w:line="600" w:lineRule="exact"/>
        <w:ind w:firstLine="640" w:firstLineChars="200"/>
        <w:rPr>
          <w:rFonts w:ascii="黑体" w:eastAsia="黑体"/>
          <w:sz w:val="32"/>
          <w:szCs w:val="32"/>
        </w:rPr>
      </w:pPr>
      <w:r>
        <w:rPr>
          <w:rFonts w:hint="eastAsia" w:ascii="黑体" w:eastAsia="黑体"/>
          <w:sz w:val="32"/>
          <w:szCs w:val="32"/>
        </w:rPr>
        <w:t>一、单位基本情况及自评结论</w:t>
      </w:r>
    </w:p>
    <w:p>
      <w:pPr>
        <w:spacing w:line="600" w:lineRule="exact"/>
        <w:ind w:left="640"/>
        <w:rPr>
          <w:rFonts w:ascii="仿宋" w:hAnsi="仿宋" w:eastAsia="仿宋" w:cs="方正仿宋简体"/>
          <w:sz w:val="32"/>
          <w:szCs w:val="32"/>
        </w:rPr>
      </w:pPr>
      <w:r>
        <w:rPr>
          <w:rFonts w:hint="eastAsia" w:ascii="仿宋" w:hAnsi="仿宋" w:eastAsia="仿宋" w:cs="方正仿宋简体"/>
          <w:sz w:val="32"/>
          <w:szCs w:val="32"/>
        </w:rPr>
        <w:t>（一）部门职能职责概述</w:t>
      </w:r>
    </w:p>
    <w:p>
      <w:pPr>
        <w:spacing w:line="600" w:lineRule="exact"/>
        <w:ind w:firstLine="640" w:firstLineChars="200"/>
        <w:rPr>
          <w:rFonts w:ascii="仿宋" w:hAnsi="仿宋" w:eastAsia="仿宋" w:cs="方正仿宋简体"/>
          <w:sz w:val="32"/>
          <w:szCs w:val="32"/>
        </w:rPr>
      </w:pPr>
      <w:r>
        <w:rPr>
          <w:rFonts w:ascii="仿宋" w:hAnsi="仿宋" w:eastAsia="仿宋" w:cs="方正仿宋简体"/>
          <w:sz w:val="32"/>
          <w:szCs w:val="32"/>
        </w:rPr>
        <w:t>贯彻执行国家和省有关人力资源和社会保障事业发展的方针政策和法律法规，起草有关规范性文件，拟订本县人力资源和社会保障事业发展规划，并组织实施和监督检查。负责促进就业工作，拟订统筹城乡的就业发展规划和政策，完善公共就业服务体系，健全就业援助制度，完善职业资格制度，统筹建立面向城乡劳动者的职业培训制度，牵头拟订高校毕业生就业政策，会同有关部门拟订高技能人才、农村实用人才培养和激励政策；统筹建立覆盖城乡的社会保障体系。统筹拟订城乡社会保险及其补充保险政策和标准，会同有关部门拟订社会保险及其补充保险基金管理和监督制度，会同有关部门编制本县社会保险基金预决算草案；统筹拟订劳动、人事争议调解仲裁制度和劳动关系政策，完善劳动关系协调机制，制定禁止非法使用童工政策和女工、未成年工的特殊劳动保护政策，组织实施劳动监察，协调劳动者维权工作，依法查处重大案件；会同有关部门指导事业单位人事制度改革，拟订事业单位人员和机关工勤人员管理政策，指导人才管理和开发工作；负责企事业单位专业技术人员继续教育管理工作，牵头推进深化职称制度改革工作，负责高层次专业技术人才选拔和培养工作。</w:t>
      </w:r>
    </w:p>
    <w:p>
      <w:pPr>
        <w:pStyle w:val="10"/>
        <w:spacing w:line="600" w:lineRule="exact"/>
        <w:ind w:firstLine="803" w:firstLineChars="250"/>
        <w:rPr>
          <w:rFonts w:hint="default" w:ascii="仿宋" w:hAnsi="仿宋" w:eastAsia="仿宋"/>
          <w:b/>
          <w:bCs/>
          <w:sz w:val="32"/>
          <w:szCs w:val="32"/>
        </w:rPr>
      </w:pPr>
    </w:p>
    <w:p>
      <w:pPr>
        <w:pStyle w:val="10"/>
        <w:spacing w:line="600" w:lineRule="exact"/>
        <w:ind w:firstLine="803" w:firstLineChars="250"/>
        <w:rPr>
          <w:rFonts w:hint="default" w:ascii="仿宋" w:hAnsi="仿宋" w:eastAsia="仿宋"/>
          <w:b/>
          <w:bCs/>
          <w:sz w:val="32"/>
          <w:szCs w:val="32"/>
        </w:rPr>
      </w:pPr>
      <w:r>
        <w:rPr>
          <w:rFonts w:ascii="仿宋" w:hAnsi="仿宋" w:eastAsia="仿宋"/>
          <w:b/>
          <w:bCs/>
          <w:sz w:val="32"/>
          <w:szCs w:val="32"/>
        </w:rPr>
        <w:t>（二）单位概况</w:t>
      </w:r>
    </w:p>
    <w:p>
      <w:pPr>
        <w:spacing w:line="600" w:lineRule="exact"/>
        <w:ind w:firstLine="640"/>
        <w:jc w:val="center"/>
        <w:rPr>
          <w:rFonts w:ascii="仿宋" w:hAnsi="仿宋" w:eastAsia="仿宋" w:cs="方正仿宋简体"/>
          <w:sz w:val="32"/>
          <w:szCs w:val="32"/>
        </w:rPr>
      </w:pPr>
      <w:r>
        <w:rPr>
          <w:rFonts w:hint="eastAsia" w:ascii="仿宋" w:hAnsi="仿宋" w:eastAsia="仿宋" w:cs="方正仿宋简体"/>
          <w:sz w:val="32"/>
          <w:szCs w:val="32"/>
        </w:rPr>
        <w:t>乳源瑶族自治县人力资源和社会保障局是正科级行政单位。内设办公室、就业促进股、事业单位人事管理股（人事考试办公室）、工资福利股、社会保险管理股、劳动关系股、劳动保障监察综合执法大队、职业建设股。局属事业单位有</w:t>
      </w:r>
      <w:r>
        <w:rPr>
          <w:rFonts w:hint="eastAsia" w:ascii="仿宋" w:hAnsi="仿宋" w:eastAsia="仿宋" w:cs="方正仿宋简体"/>
          <w:sz w:val="32"/>
          <w:szCs w:val="32"/>
          <w:lang w:val="en-US" w:eastAsia="zh-CN"/>
        </w:rPr>
        <w:t>4</w:t>
      </w:r>
      <w:r>
        <w:rPr>
          <w:rFonts w:hint="eastAsia" w:ascii="仿宋" w:hAnsi="仿宋" w:eastAsia="仿宋" w:cs="方正仿宋简体"/>
          <w:sz w:val="32"/>
          <w:szCs w:val="32"/>
        </w:rPr>
        <w:t>个，分别是乳源瑶族自治县自治县人才管理工作办公室、乳源瑶族自治县劳动</w:t>
      </w:r>
    </w:p>
    <w:p>
      <w:pPr>
        <w:spacing w:line="600" w:lineRule="exact"/>
        <w:rPr>
          <w:rFonts w:ascii="仿宋" w:hAnsi="仿宋" w:eastAsia="仿宋" w:cs="方正仿宋简体"/>
          <w:sz w:val="32"/>
          <w:szCs w:val="32"/>
        </w:rPr>
      </w:pPr>
      <w:r>
        <w:rPr>
          <w:rFonts w:hint="eastAsia" w:ascii="仿宋" w:hAnsi="仿宋" w:eastAsia="仿宋" w:cs="方正仿宋简体"/>
          <w:sz w:val="32"/>
          <w:szCs w:val="32"/>
        </w:rPr>
        <w:t>人事争议仲裁院和乳源瑶族自治县就业服务管理局</w:t>
      </w:r>
      <w:r>
        <w:rPr>
          <w:rFonts w:hint="eastAsia" w:ascii="仿宋" w:hAnsi="仿宋" w:eastAsia="仿宋" w:cs="方正仿宋简体"/>
          <w:sz w:val="32"/>
          <w:szCs w:val="32"/>
          <w:lang w:eastAsia="zh-CN"/>
        </w:rPr>
        <w:t>和乳源瑶族自治县职业技能服务中心（</w:t>
      </w:r>
      <w:r>
        <w:rPr>
          <w:rFonts w:hint="eastAsia" w:ascii="仿宋" w:hAnsi="仿宋" w:eastAsia="仿宋" w:cs="方正仿宋简体"/>
          <w:sz w:val="32"/>
          <w:szCs w:val="32"/>
          <w:lang w:val="en-US" w:eastAsia="zh-CN"/>
        </w:rPr>
        <w:t>2022年12月根据乳机编[2022]22号新设立单位</w:t>
      </w:r>
      <w:r>
        <w:rPr>
          <w:rFonts w:hint="eastAsia" w:ascii="仿宋" w:hAnsi="仿宋" w:eastAsia="仿宋" w:cs="方正仿宋简体"/>
          <w:sz w:val="32"/>
          <w:szCs w:val="32"/>
          <w:lang w:eastAsia="zh-CN"/>
        </w:rPr>
        <w:t>）</w:t>
      </w:r>
      <w:r>
        <w:rPr>
          <w:rFonts w:hint="eastAsia" w:ascii="仿宋" w:hAnsi="仿宋" w:eastAsia="仿宋" w:cs="方正仿宋简体"/>
          <w:sz w:val="32"/>
          <w:szCs w:val="32"/>
        </w:rPr>
        <w:t>。</w:t>
      </w:r>
    </w:p>
    <w:p>
      <w:pPr>
        <w:spacing w:line="600" w:lineRule="exact"/>
        <w:ind w:firstLine="640" w:firstLineChars="200"/>
        <w:rPr>
          <w:rFonts w:ascii="仿宋" w:hAnsi="仿宋" w:eastAsia="仿宋" w:cs="方正仿宋简体"/>
          <w:sz w:val="32"/>
          <w:szCs w:val="32"/>
        </w:rPr>
      </w:pPr>
      <w:r>
        <w:rPr>
          <w:rFonts w:hint="eastAsia" w:ascii="方正仿宋简体" w:hAnsi="方正仿宋简体" w:eastAsia="方正仿宋简体" w:cs="方正仿宋简体"/>
          <w:sz w:val="32"/>
          <w:szCs w:val="32"/>
        </w:rPr>
        <w:t>行政编制19名，实有1</w:t>
      </w:r>
      <w:r>
        <w:rPr>
          <w:rFonts w:hint="eastAsia" w:ascii="方正仿宋简体" w:hAnsi="方正仿宋简体" w:eastAsia="方正仿宋简体" w:cs="方正仿宋简体"/>
          <w:sz w:val="32"/>
          <w:szCs w:val="32"/>
          <w:lang w:val="en-US" w:eastAsia="zh-CN"/>
        </w:rPr>
        <w:t>8</w:t>
      </w:r>
      <w:r>
        <w:rPr>
          <w:rFonts w:hint="eastAsia" w:ascii="方正仿宋简体" w:hAnsi="方正仿宋简体" w:eastAsia="方正仿宋简体" w:cs="方正仿宋简体"/>
          <w:sz w:val="32"/>
          <w:szCs w:val="32"/>
        </w:rPr>
        <w:t>人，退休1</w:t>
      </w:r>
      <w:r>
        <w:rPr>
          <w:rFonts w:hint="eastAsia" w:ascii="方正仿宋简体" w:hAnsi="方正仿宋简体" w:eastAsia="方正仿宋简体" w:cs="方正仿宋简体"/>
          <w:sz w:val="32"/>
          <w:szCs w:val="32"/>
          <w:lang w:val="en-US" w:eastAsia="zh-CN"/>
        </w:rPr>
        <w:t>8</w:t>
      </w:r>
      <w:r>
        <w:rPr>
          <w:rFonts w:hint="eastAsia" w:ascii="方正仿宋简体" w:hAnsi="方正仿宋简体" w:eastAsia="方正仿宋简体" w:cs="方正仿宋简体"/>
          <w:sz w:val="32"/>
          <w:szCs w:val="32"/>
        </w:rPr>
        <w:t>人；参照公务员管理事业编制9名,实有</w:t>
      </w:r>
      <w:r>
        <w:rPr>
          <w:rFonts w:hint="eastAsia" w:ascii="方正仿宋简体" w:hAnsi="方正仿宋简体" w:eastAsia="方正仿宋简体" w:cs="方正仿宋简体"/>
          <w:sz w:val="32"/>
          <w:szCs w:val="32"/>
          <w:lang w:val="en-US" w:eastAsia="zh-CN"/>
        </w:rPr>
        <w:t>8</w:t>
      </w:r>
      <w:r>
        <w:rPr>
          <w:rFonts w:hint="eastAsia" w:ascii="方正仿宋简体" w:hAnsi="方正仿宋简体" w:eastAsia="方正仿宋简体" w:cs="方正仿宋简体"/>
          <w:sz w:val="32"/>
          <w:szCs w:val="32"/>
        </w:rPr>
        <w:t>人;原编内后勤人员2人；事业单位编制</w:t>
      </w:r>
      <w:r>
        <w:rPr>
          <w:rFonts w:hint="eastAsia" w:ascii="方正仿宋简体" w:hAnsi="方正仿宋简体" w:eastAsia="方正仿宋简体" w:cs="方正仿宋简体"/>
          <w:sz w:val="32"/>
          <w:szCs w:val="32"/>
          <w:lang w:val="en-US" w:eastAsia="zh-CN"/>
        </w:rPr>
        <w:t>79</w:t>
      </w:r>
      <w:r>
        <w:rPr>
          <w:rFonts w:hint="eastAsia" w:ascii="方正仿宋简体" w:hAnsi="方正仿宋简体" w:eastAsia="方正仿宋简体" w:cs="方正仿宋简体"/>
          <w:sz w:val="32"/>
          <w:szCs w:val="32"/>
        </w:rPr>
        <w:t>名</w:t>
      </w:r>
      <w:r>
        <w:rPr>
          <w:rFonts w:hint="eastAsia" w:ascii="方正仿宋简体" w:hAnsi="方正仿宋简体" w:eastAsia="方正仿宋简体" w:cs="方正仿宋简体"/>
          <w:sz w:val="32"/>
          <w:szCs w:val="32"/>
          <w:lang w:eastAsia="zh-CN"/>
        </w:rPr>
        <w:t>（根据</w:t>
      </w:r>
      <w:r>
        <w:rPr>
          <w:rFonts w:hint="eastAsia" w:ascii="仿宋" w:hAnsi="仿宋" w:eastAsia="仿宋" w:cs="方正仿宋简体"/>
          <w:sz w:val="32"/>
          <w:szCs w:val="32"/>
          <w:lang w:val="en-US" w:eastAsia="zh-CN"/>
        </w:rPr>
        <w:t>乳机编[2022]66号，安排58名高层次人才专项编制周转次编制在本单位下属事业单位就业服务管理局</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，实有</w:t>
      </w:r>
      <w:r>
        <w:rPr>
          <w:rFonts w:hint="eastAsia" w:ascii="方正仿宋简体" w:hAnsi="方正仿宋简体" w:eastAsia="方正仿宋简体" w:cs="方正仿宋简体"/>
          <w:sz w:val="32"/>
          <w:szCs w:val="32"/>
          <w:lang w:val="en-US" w:eastAsia="zh-CN"/>
        </w:rPr>
        <w:t>64</w:t>
      </w:r>
      <w:r>
        <w:rPr>
          <w:rFonts w:hint="eastAsia" w:ascii="方正仿宋简体" w:hAnsi="方正仿宋简体" w:eastAsia="方正仿宋简体" w:cs="方正仿宋简体"/>
          <w:sz w:val="32"/>
          <w:szCs w:val="32"/>
        </w:rPr>
        <w:t>人，退休</w:t>
      </w:r>
      <w:r>
        <w:rPr>
          <w:rFonts w:hint="eastAsia" w:ascii="方正仿宋简体" w:hAnsi="方正仿宋简体" w:eastAsia="方正仿宋简体" w:cs="方正仿宋简体"/>
          <w:sz w:val="32"/>
          <w:szCs w:val="32"/>
          <w:lang w:val="en-US" w:eastAsia="zh-CN"/>
        </w:rPr>
        <w:t>7</w:t>
      </w:r>
      <w:r>
        <w:rPr>
          <w:rFonts w:hint="eastAsia" w:ascii="方正仿宋简体" w:hAnsi="方正仿宋简体" w:eastAsia="方正仿宋简体" w:cs="方正仿宋简体"/>
          <w:sz w:val="32"/>
          <w:szCs w:val="32"/>
        </w:rPr>
        <w:t>人。</w:t>
      </w:r>
    </w:p>
    <w:p>
      <w:pPr>
        <w:spacing w:line="600" w:lineRule="exact"/>
        <w:ind w:firstLine="643" w:firstLineChars="200"/>
        <w:rPr>
          <w:rFonts w:ascii="仿宋_GB2312" w:eastAsia="仿宋_GB2312"/>
          <w:b/>
          <w:bCs/>
          <w:sz w:val="32"/>
          <w:szCs w:val="32"/>
        </w:rPr>
      </w:pPr>
      <w:r>
        <w:rPr>
          <w:rFonts w:hint="eastAsia" w:ascii="仿宋_GB2312" w:eastAsia="仿宋_GB2312"/>
          <w:b/>
          <w:bCs/>
          <w:sz w:val="32"/>
          <w:szCs w:val="32"/>
        </w:rPr>
        <w:t>（三）综述项目自评等级和分数。</w:t>
      </w:r>
    </w:p>
    <w:p>
      <w:pPr>
        <w:spacing w:line="60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2022</w:t>
      </w:r>
      <w:r>
        <w:rPr>
          <w:rFonts w:hint="eastAsia" w:ascii="仿宋_GB2312" w:eastAsia="仿宋_GB2312"/>
          <w:color w:val="auto"/>
          <w:sz w:val="32"/>
          <w:szCs w:val="32"/>
        </w:rPr>
        <w:t>年，我局坚持以习近平新时代中国特色社会主义思想为指导，全面贯彻党的十九大和十九届历次全会精神，以“民生为本，人才优先”为工作主线，团结拼搏，</w:t>
      </w:r>
      <w:r>
        <w:rPr>
          <w:rFonts w:hint="eastAsia" w:ascii="仿宋_GB2312" w:hAnsi="宋体" w:eastAsia="仿宋_GB2312" w:cs="宋体"/>
          <w:color w:val="auto"/>
          <w:sz w:val="32"/>
          <w:szCs w:val="32"/>
        </w:rPr>
        <w:t>真抓实干，</w:t>
      </w:r>
      <w:r>
        <w:rPr>
          <w:rFonts w:hint="eastAsia" w:ascii="仿宋_GB2312" w:eastAsia="仿宋_GB2312"/>
          <w:color w:val="auto"/>
          <w:sz w:val="32"/>
          <w:szCs w:val="32"/>
        </w:rPr>
        <w:t>落实人社部门改革攻坚规范治理任务，奋力推动我县人力资源社会保障事业高质量发展</w:t>
      </w:r>
      <w:r>
        <w:rPr>
          <w:rFonts w:hint="eastAsia" w:ascii="仿宋_GB2312" w:eastAsia="仿宋_GB2312"/>
          <w:color w:val="auto"/>
          <w:sz w:val="32"/>
          <w:szCs w:val="32"/>
          <w:lang w:eastAsia="zh-CN"/>
        </w:rPr>
        <w:t>，</w:t>
      </w:r>
      <w:r>
        <w:rPr>
          <w:rFonts w:hint="eastAsia" w:ascii="仿宋_GB2312" w:eastAsia="仿宋_GB2312"/>
          <w:color w:val="auto"/>
          <w:sz w:val="32"/>
          <w:szCs w:val="32"/>
        </w:rPr>
        <w:t>各项工作进展顺利。</w:t>
      </w:r>
    </w:p>
    <w:p>
      <w:pPr>
        <w:spacing w:line="600" w:lineRule="exact"/>
        <w:ind w:firstLine="640" w:firstLineChars="200"/>
        <w:rPr>
          <w:rFonts w:ascii="仿宋_GB2312" w:eastAsia="仿宋_GB2312"/>
          <w:sz w:val="32"/>
          <w:szCs w:val="32"/>
        </w:rPr>
      </w:pPr>
      <w:r>
        <w:rPr>
          <w:rFonts w:hint="eastAsia" w:ascii="仿宋_GB2312" w:eastAsia="仿宋_GB2312"/>
          <w:color w:val="000000"/>
          <w:sz w:val="32"/>
          <w:szCs w:val="32"/>
        </w:rPr>
        <w:t>自评等级优秀，得分97分。</w:t>
      </w:r>
    </w:p>
    <w:p>
      <w:pPr>
        <w:spacing w:line="600" w:lineRule="exact"/>
        <w:ind w:firstLine="643" w:firstLineChars="200"/>
        <w:rPr>
          <w:rFonts w:ascii="仿宋_GB2312" w:eastAsia="仿宋_GB2312"/>
          <w:b/>
          <w:bCs/>
          <w:sz w:val="32"/>
          <w:szCs w:val="32"/>
        </w:rPr>
      </w:pPr>
      <w:r>
        <w:rPr>
          <w:rFonts w:hint="eastAsia" w:ascii="方正仿宋简体" w:hAnsi="方正仿宋简体" w:eastAsia="方正仿宋简体" w:cs="方正仿宋简体"/>
          <w:b/>
          <w:bCs/>
          <w:sz w:val="32"/>
          <w:szCs w:val="32"/>
        </w:rPr>
        <w:t>二、收入支出预算执行情况</w:t>
      </w:r>
      <w:r>
        <w:rPr>
          <w:rFonts w:hint="eastAsia" w:ascii="仿宋_GB2312" w:eastAsia="仿宋_GB2312"/>
          <w:b/>
          <w:bCs/>
          <w:sz w:val="32"/>
          <w:szCs w:val="32"/>
        </w:rPr>
        <w:t>。</w:t>
      </w:r>
    </w:p>
    <w:p>
      <w:pPr>
        <w:snapToGrid w:val="0"/>
        <w:spacing w:line="600" w:lineRule="exact"/>
        <w:ind w:firstLine="643" w:firstLineChars="200"/>
        <w:rPr>
          <w:rFonts w:ascii="方正仿宋简体" w:hAnsi="方正仿宋简体" w:eastAsia="方正仿宋简体" w:cs="方正仿宋简体"/>
          <w:b/>
          <w:sz w:val="32"/>
          <w:szCs w:val="32"/>
        </w:rPr>
      </w:pPr>
      <w:r>
        <w:rPr>
          <w:rFonts w:hint="eastAsia" w:ascii="方正仿宋简体" w:hAnsi="方正仿宋简体" w:eastAsia="方正仿宋简体" w:cs="方正仿宋简体"/>
          <w:b/>
          <w:sz w:val="32"/>
          <w:szCs w:val="32"/>
        </w:rPr>
        <w:t>（一）收入支出预算安排情况。</w:t>
      </w:r>
    </w:p>
    <w:p>
      <w:pPr>
        <w:snapToGrid w:val="0"/>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2022年本部门收入预算</w:t>
      </w:r>
      <w:bookmarkStart w:id="0" w:name="PO_part3A1Amount1"/>
      <w:r>
        <w:rPr>
          <w:rFonts w:hint="eastAsia" w:ascii="仿宋" w:hAnsi="仿宋" w:eastAsia="仿宋" w:cs="仿宋"/>
          <w:sz w:val="32"/>
          <w:szCs w:val="32"/>
        </w:rPr>
        <w:t>1,395.78</w:t>
      </w:r>
      <w:bookmarkEnd w:id="0"/>
      <w:r>
        <w:rPr>
          <w:rFonts w:hint="eastAsia" w:ascii="仿宋" w:hAnsi="仿宋" w:eastAsia="仿宋" w:cs="仿宋"/>
          <w:sz w:val="32"/>
          <w:szCs w:val="32"/>
        </w:rPr>
        <w:t>万元，比上年</w:t>
      </w:r>
      <w:bookmarkStart w:id="1" w:name="PO_part3A1IncAmount1"/>
      <w:r>
        <w:rPr>
          <w:rFonts w:hint="eastAsia" w:ascii="仿宋" w:hAnsi="仿宋" w:eastAsia="仿宋" w:cs="仿宋"/>
          <w:sz w:val="32"/>
          <w:szCs w:val="32"/>
        </w:rPr>
        <w:t>增加279.57</w:t>
      </w:r>
      <w:bookmarkEnd w:id="1"/>
      <w:r>
        <w:rPr>
          <w:rFonts w:hint="eastAsia" w:ascii="仿宋" w:hAnsi="仿宋" w:eastAsia="仿宋" w:cs="仿宋"/>
          <w:sz w:val="32"/>
          <w:szCs w:val="32"/>
        </w:rPr>
        <w:t>万元，</w:t>
      </w:r>
      <w:bookmarkStart w:id="2" w:name="PO_part3A1IncPercent1"/>
      <w:r>
        <w:rPr>
          <w:rFonts w:hint="eastAsia" w:ascii="仿宋" w:hAnsi="仿宋" w:eastAsia="仿宋" w:cs="仿宋"/>
          <w:sz w:val="32"/>
          <w:szCs w:val="32"/>
        </w:rPr>
        <w:t>增长25.0</w:t>
      </w:r>
      <w:bookmarkEnd w:id="2"/>
      <w:r>
        <w:rPr>
          <w:rFonts w:hint="eastAsia" w:ascii="仿宋" w:hAnsi="仿宋" w:eastAsia="仿宋" w:cs="仿宋"/>
          <w:sz w:val="32"/>
          <w:szCs w:val="32"/>
        </w:rPr>
        <w:t>%，主要原因是</w:t>
      </w:r>
      <w:bookmarkStart w:id="3" w:name="PO_part3A1IncReason1"/>
      <w:r>
        <w:rPr>
          <w:rFonts w:hint="eastAsia" w:ascii="仿宋" w:hAnsi="仿宋" w:eastAsia="仿宋" w:cs="仿宋"/>
          <w:sz w:val="32"/>
          <w:szCs w:val="32"/>
        </w:rPr>
        <w:t>新增了镇级乡村振兴人才驿站经费收入、人才驿站运营经费收入和名厨工作室经费收入；增加事业单位招聘工作经费收入；人员工资调整人员经费收入增加</w:t>
      </w:r>
      <w:bookmarkEnd w:id="3"/>
      <w:r>
        <w:rPr>
          <w:rFonts w:hint="eastAsia" w:ascii="仿宋" w:hAnsi="仿宋" w:eastAsia="仿宋" w:cs="仿宋"/>
          <w:sz w:val="32"/>
          <w:szCs w:val="32"/>
        </w:rPr>
        <w:t>；支出预算</w:t>
      </w:r>
      <w:bookmarkStart w:id="4" w:name="PO_part3A1Amount2"/>
      <w:r>
        <w:rPr>
          <w:rFonts w:hint="eastAsia" w:ascii="仿宋" w:hAnsi="仿宋" w:eastAsia="仿宋" w:cs="仿宋"/>
          <w:sz w:val="32"/>
          <w:szCs w:val="32"/>
        </w:rPr>
        <w:t>1,395.78</w:t>
      </w:r>
      <w:bookmarkEnd w:id="4"/>
      <w:r>
        <w:rPr>
          <w:rFonts w:hint="eastAsia" w:ascii="仿宋" w:hAnsi="仿宋" w:eastAsia="仿宋" w:cs="仿宋"/>
          <w:sz w:val="32"/>
          <w:szCs w:val="32"/>
        </w:rPr>
        <w:t>万元，比上年</w:t>
      </w:r>
      <w:bookmarkStart w:id="5" w:name="PO_part3A1IncAmount2"/>
      <w:r>
        <w:rPr>
          <w:rFonts w:hint="eastAsia" w:ascii="仿宋" w:hAnsi="仿宋" w:eastAsia="仿宋" w:cs="仿宋"/>
          <w:sz w:val="32"/>
          <w:szCs w:val="32"/>
        </w:rPr>
        <w:t>增加279.57</w:t>
      </w:r>
      <w:bookmarkEnd w:id="5"/>
      <w:r>
        <w:rPr>
          <w:rFonts w:hint="eastAsia" w:ascii="仿宋" w:hAnsi="仿宋" w:eastAsia="仿宋" w:cs="仿宋"/>
          <w:sz w:val="32"/>
          <w:szCs w:val="32"/>
        </w:rPr>
        <w:t>万元，</w:t>
      </w:r>
      <w:bookmarkStart w:id="6" w:name="PO_part3A1IncPercent2"/>
      <w:r>
        <w:rPr>
          <w:rFonts w:hint="eastAsia" w:ascii="仿宋" w:hAnsi="仿宋" w:eastAsia="仿宋" w:cs="仿宋"/>
          <w:sz w:val="32"/>
          <w:szCs w:val="32"/>
        </w:rPr>
        <w:t>增长25.0</w:t>
      </w:r>
      <w:bookmarkEnd w:id="6"/>
      <w:r>
        <w:rPr>
          <w:rFonts w:hint="eastAsia" w:ascii="仿宋" w:hAnsi="仿宋" w:eastAsia="仿宋" w:cs="仿宋"/>
          <w:sz w:val="32"/>
          <w:szCs w:val="32"/>
        </w:rPr>
        <w:t>%，主要原因是新增了镇级乡村振兴人才驿站经费支出、人才驿站运营经费支出和名厨工作室经费支出；增加事业单位招聘工作经费支出；人员工资调整人员经费支出增加。</w:t>
      </w:r>
    </w:p>
    <w:p>
      <w:pPr>
        <w:snapToGrid w:val="0"/>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（二）收入支出预算执行情况。</w:t>
      </w:r>
    </w:p>
    <w:p>
      <w:pPr>
        <w:pStyle w:val="5"/>
        <w:widowControl/>
        <w:shd w:val="clear" w:color="auto" w:fill="FFFFFF"/>
        <w:spacing w:before="0" w:beforeAutospacing="0" w:after="0" w:afterAutospacing="0" w:line="60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2022年总收入2</w:t>
      </w:r>
      <w:r>
        <w:rPr>
          <w:rFonts w:hint="eastAsia" w:ascii="仿宋" w:hAnsi="仿宋" w:eastAsia="仿宋" w:cs="仿宋"/>
          <w:sz w:val="32"/>
          <w:szCs w:val="32"/>
        </w:rPr>
        <w:t>,</w:t>
      </w:r>
      <w:bookmarkStart w:id="7" w:name="_GoBack"/>
      <w:bookmarkEnd w:id="7"/>
      <w:r>
        <w:rPr>
          <w:rFonts w:hint="eastAsia" w:ascii="仿宋" w:hAnsi="仿宋" w:eastAsia="仿宋" w:cs="仿宋"/>
          <w:kern w:val="2"/>
          <w:sz w:val="32"/>
          <w:szCs w:val="32"/>
          <w:lang w:val="en-US" w:eastAsia="zh-CN" w:bidi="ar-SA"/>
        </w:rPr>
        <w:t>377.14万元,同比增加256.39万元，增长12.09%。主要原因是新增人才驿站管理运营经费、事业单位公开招聘、创业担保贷款贴息等项目收入。其中财政拨款收入2366.59万元2101.97万元,比上年增加246.62万元，同比增长12.59%。</w:t>
      </w:r>
    </w:p>
    <w:p>
      <w:pPr>
        <w:pStyle w:val="5"/>
        <w:widowControl/>
        <w:shd w:val="clear" w:color="auto" w:fill="FFFFFF"/>
        <w:spacing w:before="0" w:beforeAutospacing="0" w:after="0" w:afterAutospacing="0" w:line="60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2022年总支出2377.26万元,同比增加251.14万元，增长11.81%。主要原因是新增人才驿站管理运营经费、事业单位公开招聘、创业担保贷款贴息等项目支出。</w:t>
      </w:r>
    </w:p>
    <w:p>
      <w:pPr>
        <w:pStyle w:val="5"/>
        <w:widowControl/>
        <w:shd w:val="clear" w:color="auto" w:fill="FFFFFF"/>
        <w:spacing w:before="0" w:beforeAutospacing="0" w:after="0" w:afterAutospacing="0" w:line="600" w:lineRule="exact"/>
        <w:ind w:firstLine="643" w:firstLineChars="200"/>
        <w:jc w:val="both"/>
        <w:rPr>
          <w:rFonts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b/>
          <w:bCs/>
          <w:color w:val="000000"/>
          <w:sz w:val="32"/>
          <w:szCs w:val="32"/>
        </w:rPr>
        <w:t>三、主要工作完成情况</w:t>
      </w:r>
    </w:p>
    <w:p>
      <w:pPr>
        <w:pStyle w:val="12"/>
        <w:widowControl/>
        <w:spacing w:line="600" w:lineRule="exact"/>
        <w:ind w:firstLine="640"/>
        <w:rPr>
          <w:rFonts w:ascii="楷体_GB2312" w:eastAsia="楷体_GB2312"/>
          <w:kern w:val="0"/>
        </w:rPr>
      </w:pPr>
      <w:r>
        <w:rPr>
          <w:rFonts w:hint="eastAsia" w:ascii="楷体_GB2312" w:eastAsia="楷体_GB2312"/>
          <w:kern w:val="0"/>
        </w:rPr>
        <w:t>（一）指标完成情况</w:t>
      </w:r>
    </w:p>
    <w:p>
      <w:pPr>
        <w:pStyle w:val="12"/>
        <w:widowControl/>
        <w:topLinePunct/>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就业创业：全县城镇新增就业1049人，完成年度目标任务104.9%；城镇失业人员再就业513人，完成年度目标任务102.6%；就业困难人员实现再就业151人，完成年度目标任务104.1%；促进创业120人，完成年度目标任务的100%。</w:t>
      </w:r>
    </w:p>
    <w:p>
      <w:pPr>
        <w:pStyle w:val="12"/>
        <w:widowControl/>
        <w:topLinePunct/>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社会保险：一是参保缴费人数。截至12月31日，全县参加城镇职工基本养老、失业、工伤保险分别为43914人（含离退休）、24776人、34515人，三项分别完成年度目标任务的107.42%、107.44%、110.82%。其中：企业职工基本养老保险参保29227人（不含离退休）、缴费27512人，分别完成年度目标任务的109.38%、109.86%；机关事业单位养老保险参保5821人，完成年度目标任务的100.71%。城乡居民基本养老保险参保85051人、缴费31972人，分别完成年度目标任务的104.87%、100.79%。二是基金征缴收入。截至12月31日，企业职工基本养老保险、失业保险、工伤保险基金征缴收入分别为30018万元、614万元、582万元，完成率101.76%、102.26%、114.1%。</w:t>
      </w:r>
    </w:p>
    <w:p>
      <w:pPr>
        <w:pStyle w:val="12"/>
        <w:widowControl/>
        <w:topLinePunct/>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人才队伍建设：新增取得职业资格证书或职业技能等级证书1444人，完成市下达任务950人的152%；新增取得高级工以上职业资格证书或职业技能等级证书275人，完成市下达任务240人的114.58%，新增取得技师以上职业资格证书或职业技能等级证书41人，完成市下达任务10人的410%。开展补贴性职业技能培训1229人，完成下达任务指标750人的163.86%（其中完成新型学徒培训250人，完成下达任务指标200人的125%）；“粤菜师傅”获证96人，完成下达任务目标80人的120%；“南粤家政”获证410人，完成下达任务指标330人的124.24%；农村电商获证81人，完成下达任务指标70人的115.71%。</w:t>
      </w:r>
    </w:p>
    <w:p>
      <w:pPr>
        <w:pStyle w:val="12"/>
        <w:widowControl/>
        <w:topLinePunct/>
        <w:spacing w:line="560" w:lineRule="exact"/>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劳动关系协调：劳动人事争议仲裁结案率为99.1%（市下达任务值为95%），劳动人事争议调解率为82.7%（市下达任务值为75%）。劳动保障监察举报投诉案件结案率96%（市下达任务值为96%）；拖欠农民工工资举报投诉案件结案率98%（市下达任务值为98%）；劳动保障监察监管信息上线率92.59%（市下达任务值为70%以上）。</w:t>
      </w:r>
    </w:p>
    <w:p>
      <w:pPr>
        <w:pStyle w:val="12"/>
        <w:widowControl/>
        <w:topLinePunct/>
        <w:spacing w:line="560" w:lineRule="exact"/>
        <w:ind w:firstLine="640" w:firstLineChars="200"/>
        <w:rPr>
          <w:rFonts w:ascii="黑体" w:hAnsi="黑体" w:eastAsia="黑体"/>
          <w:kern w:val="0"/>
        </w:rPr>
      </w:pPr>
      <w:r>
        <w:rPr>
          <w:rFonts w:hint="eastAsia" w:ascii="黑体" w:hAnsi="黑体" w:eastAsia="黑体"/>
          <w:kern w:val="0"/>
        </w:rPr>
        <w:t>(二)主要工作成效</w:t>
      </w:r>
    </w:p>
    <w:p>
      <w:pPr>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方正楷体简体" w:eastAsia="方正楷体简体"/>
          <w:color w:val="auto"/>
          <w:sz w:val="32"/>
          <w:szCs w:val="32"/>
        </w:rPr>
        <w:t>（一）就业创业稳步推进。</w:t>
      </w:r>
      <w:r>
        <w:rPr>
          <w:rFonts w:hint="eastAsia" w:ascii="仿宋_GB2312" w:hAnsi="仿宋_GB2312" w:eastAsia="仿宋_GB2312" w:cs="仿宋_GB2312"/>
          <w:color w:val="auto"/>
          <w:sz w:val="32"/>
          <w:szCs w:val="32"/>
          <w:lang w:val="en-US" w:eastAsia="zh-CN"/>
        </w:rPr>
        <w:t>一是结合实地走访企业共62家/次，建立“一企一策”台账26家。我县规上企业在岗员工总数10744人，12月新招员工79人，累计新招2577人，1月份用工需求90人。二</w:t>
      </w:r>
      <w:r>
        <w:rPr>
          <w:rFonts w:hint="eastAsia" w:ascii="仿宋_GB2312" w:hAnsi="仿宋_GB2312" w:eastAsia="仿宋_GB2312" w:cs="仿宋_GB2312"/>
          <w:color w:val="auto"/>
          <w:sz w:val="32"/>
          <w:szCs w:val="32"/>
        </w:rPr>
        <w:t>是全面开展线上线下专场招聘会。组织举办线上线下招聘会</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场，提供就业岗位</w:t>
      </w:r>
      <w:r>
        <w:rPr>
          <w:rFonts w:hint="eastAsia" w:ascii="仿宋_GB2312" w:hAnsi="仿宋_GB2312" w:eastAsia="仿宋_GB2312" w:cs="仿宋_GB2312"/>
          <w:color w:val="auto"/>
          <w:sz w:val="32"/>
          <w:szCs w:val="32"/>
          <w:lang w:val="en-US" w:eastAsia="zh-CN"/>
        </w:rPr>
        <w:t>5211</w:t>
      </w:r>
      <w:r>
        <w:rPr>
          <w:rFonts w:hint="eastAsia" w:ascii="仿宋_GB2312" w:hAnsi="仿宋_GB2312" w:eastAsia="仿宋_GB2312" w:cs="仿宋_GB2312"/>
          <w:color w:val="auto"/>
          <w:sz w:val="32"/>
          <w:szCs w:val="32"/>
        </w:rPr>
        <w:t>个，网上点击量2</w:t>
      </w:r>
      <w:r>
        <w:rPr>
          <w:rFonts w:hint="eastAsia" w:ascii="仿宋_GB2312" w:hAnsi="仿宋_GB2312" w:eastAsia="仿宋_GB2312" w:cs="仿宋_GB2312"/>
          <w:color w:val="auto"/>
          <w:sz w:val="32"/>
          <w:szCs w:val="32"/>
          <w:lang w:val="en-US" w:eastAsia="zh-CN"/>
        </w:rPr>
        <w:t>9511</w:t>
      </w:r>
      <w:r>
        <w:rPr>
          <w:rFonts w:hint="eastAsia" w:ascii="仿宋_GB2312" w:hAnsi="仿宋_GB2312" w:eastAsia="仿宋_GB2312" w:cs="仿宋_GB2312"/>
          <w:color w:val="auto"/>
          <w:sz w:val="32"/>
          <w:szCs w:val="32"/>
        </w:rPr>
        <w:t>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达成就业意向245人次</w:t>
      </w:r>
      <w:r>
        <w:rPr>
          <w:rFonts w:hint="eastAsia" w:ascii="仿宋_GB2312" w:hAnsi="仿宋_GB2312" w:eastAsia="仿宋_GB2312" w:cs="仿宋_GB2312"/>
          <w:color w:val="auto"/>
          <w:sz w:val="32"/>
          <w:szCs w:val="32"/>
        </w:rPr>
        <w:t>，派发宣传资料</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00份。</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是主动做好就业服务工作。多渠道</w:t>
      </w:r>
      <w:r>
        <w:rPr>
          <w:rFonts w:hint="eastAsia" w:ascii="仿宋_GB2312" w:hAnsi="仿宋_GB2312" w:eastAsia="仿宋_GB2312" w:cs="仿宋_GB2312"/>
          <w:color w:val="auto"/>
          <w:sz w:val="32"/>
          <w:szCs w:val="32"/>
        </w:rPr>
        <w:t>向</w:t>
      </w:r>
      <w:r>
        <w:rPr>
          <w:rFonts w:hint="eastAsia" w:ascii="仿宋_GB2312" w:hAnsi="仿宋_GB2312" w:eastAsia="仿宋_GB2312" w:cs="仿宋_GB2312"/>
          <w:color w:val="auto"/>
          <w:sz w:val="32"/>
          <w:szCs w:val="32"/>
          <w:lang w:val="en-US" w:eastAsia="zh-CN"/>
        </w:rPr>
        <w:t>1700名</w:t>
      </w:r>
      <w:r>
        <w:rPr>
          <w:rFonts w:hint="eastAsia" w:ascii="仿宋_GB2312" w:hAnsi="仿宋_GB2312" w:eastAsia="仿宋_GB2312" w:cs="仿宋_GB2312"/>
          <w:color w:val="auto"/>
          <w:sz w:val="32"/>
          <w:szCs w:val="32"/>
        </w:rPr>
        <w:t>就业困难人员、高校毕业生、妇女、退伍军人、脱贫人口重点群体就业推送推送就业创业政策及岗位信息</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引导登记失业的人员扫码进群，为失业人员做好就业服务工作</w:t>
      </w:r>
      <w:r>
        <w:rPr>
          <w:rFonts w:hint="eastAsia" w:ascii="仿宋_GB2312" w:hAnsi="仿宋_GB2312" w:eastAsia="仿宋_GB2312" w:cs="仿宋_GB2312"/>
          <w:color w:val="auto"/>
          <w:sz w:val="32"/>
          <w:szCs w:val="32"/>
          <w:lang w:eastAsia="zh-CN"/>
        </w:rPr>
        <w:t>。我县</w:t>
      </w:r>
      <w:r>
        <w:rPr>
          <w:rFonts w:hint="eastAsia" w:ascii="仿宋_GB2312" w:hAnsi="仿宋_GB2312" w:eastAsia="仿宋_GB2312" w:cs="仿宋_GB2312"/>
          <w:color w:val="auto"/>
          <w:sz w:val="32"/>
          <w:szCs w:val="32"/>
        </w:rPr>
        <w:t>认定就业困难人员</w:t>
      </w:r>
      <w:r>
        <w:rPr>
          <w:rFonts w:hint="eastAsia" w:ascii="仿宋_GB2312" w:hAnsi="仿宋_GB2312" w:eastAsia="仿宋_GB2312" w:cs="仿宋_GB2312"/>
          <w:color w:val="auto"/>
          <w:sz w:val="32"/>
          <w:szCs w:val="32"/>
          <w:lang w:val="en-US" w:eastAsia="zh-CN"/>
        </w:rPr>
        <w:t>251</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eastAsia="zh-CN"/>
        </w:rPr>
        <w:t>四是</w:t>
      </w:r>
      <w:r>
        <w:rPr>
          <w:rFonts w:hint="eastAsia" w:ascii="仿宋_GB2312" w:hAnsi="仿宋_GB2312" w:eastAsia="仿宋_GB2312" w:cs="仿宋_GB2312"/>
          <w:color w:val="auto"/>
          <w:sz w:val="32"/>
          <w:szCs w:val="32"/>
        </w:rPr>
        <w:t>开展送政策、送资金、送服务“三送”活动。</w:t>
      </w:r>
      <w:r>
        <w:rPr>
          <w:rFonts w:hint="eastAsia" w:ascii="仿宋_GB2312" w:hAnsi="仿宋_GB2312" w:eastAsia="仿宋_GB2312" w:cs="仿宋_GB2312"/>
          <w:color w:val="auto"/>
          <w:sz w:val="32"/>
          <w:szCs w:val="32"/>
          <w:lang w:val="en-US" w:eastAsia="zh-CN"/>
        </w:rPr>
        <w:t>2022年，</w:t>
      </w:r>
      <w:r>
        <w:rPr>
          <w:rFonts w:hint="eastAsia" w:ascii="仿宋_GB2312" w:hAnsi="仿宋_GB2312" w:eastAsia="仿宋_GB2312" w:cs="仿宋_GB2312"/>
          <w:color w:val="auto"/>
          <w:sz w:val="32"/>
          <w:szCs w:val="32"/>
        </w:rPr>
        <w:t>开展“三送”活动21次。受理申请“韶州工匠计划”补贴37人次，申请金额23.56万元。发放</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项就业创业补贴</w:t>
      </w:r>
      <w:r>
        <w:rPr>
          <w:rFonts w:hint="eastAsia" w:ascii="仿宋_GB2312" w:hAnsi="仿宋_GB2312" w:eastAsia="仿宋_GB2312" w:cs="仿宋_GB2312"/>
          <w:color w:val="auto"/>
          <w:sz w:val="32"/>
          <w:szCs w:val="32"/>
          <w:lang w:val="en-US" w:eastAsia="zh-CN"/>
        </w:rPr>
        <w:t>634</w:t>
      </w:r>
      <w:r>
        <w:rPr>
          <w:rFonts w:hint="eastAsia" w:ascii="仿宋_GB2312" w:hAnsi="仿宋_GB2312" w:eastAsia="仿宋_GB2312" w:cs="仿宋_GB2312"/>
          <w:color w:val="auto"/>
          <w:sz w:val="32"/>
          <w:szCs w:val="32"/>
        </w:rPr>
        <w:t>万余元，涉及各类重点人群</w:t>
      </w:r>
      <w:r>
        <w:rPr>
          <w:rFonts w:hint="eastAsia" w:ascii="仿宋_GB2312" w:hAnsi="仿宋_GB2312" w:eastAsia="仿宋_GB2312" w:cs="仿宋_GB2312"/>
          <w:color w:val="auto"/>
          <w:sz w:val="32"/>
          <w:szCs w:val="32"/>
          <w:lang w:val="en-US" w:eastAsia="zh-CN"/>
        </w:rPr>
        <w:t>2214</w:t>
      </w:r>
      <w:r>
        <w:rPr>
          <w:rFonts w:hint="eastAsia" w:ascii="仿宋_GB2312" w:hAnsi="仿宋_GB2312" w:eastAsia="仿宋_GB2312" w:cs="仿宋_GB2312"/>
          <w:color w:val="auto"/>
          <w:sz w:val="32"/>
          <w:szCs w:val="32"/>
        </w:rPr>
        <w:t>人次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发放创业担保贷款11笔，发放金额305万元。五是安置的130名技校实习生到岗实习。</w:t>
      </w:r>
    </w:p>
    <w:p>
      <w:pPr>
        <w:widowControl/>
        <w:spacing w:line="560" w:lineRule="exact"/>
        <w:ind w:firstLine="640" w:firstLineChars="200"/>
        <w:rPr>
          <w:rFonts w:hint="eastAsia" w:ascii="仿宋_GB2312" w:hAnsi="仿宋_GB2312" w:eastAsia="仿宋_GB2312" w:cs="仿宋_GB2312"/>
          <w:color w:val="auto"/>
          <w:kern w:val="0"/>
          <w:sz w:val="32"/>
          <w:szCs w:val="32"/>
        </w:rPr>
      </w:pPr>
      <w:r>
        <w:rPr>
          <w:rFonts w:hint="eastAsia" w:ascii="方正楷体简体" w:eastAsia="方正楷体简体"/>
          <w:color w:val="auto"/>
          <w:sz w:val="32"/>
          <w:szCs w:val="32"/>
        </w:rPr>
        <w:t>（二）社会保障</w:t>
      </w:r>
      <w:r>
        <w:rPr>
          <w:rFonts w:hint="eastAsia" w:ascii="方正楷体简体" w:eastAsia="方正楷体简体"/>
          <w:color w:val="auto"/>
          <w:sz w:val="32"/>
          <w:szCs w:val="32"/>
          <w:lang w:eastAsia="zh-CN"/>
        </w:rPr>
        <w:t>不断完善</w:t>
      </w:r>
      <w:r>
        <w:rPr>
          <w:rFonts w:hint="eastAsia" w:ascii="方正楷体简体" w:eastAsia="方正楷体简体"/>
          <w:color w:val="auto"/>
          <w:sz w:val="32"/>
          <w:szCs w:val="32"/>
        </w:rPr>
        <w:t>。</w:t>
      </w:r>
      <w:r>
        <w:rPr>
          <w:rFonts w:hint="eastAsia" w:ascii="仿宋_GB2312" w:hAnsi="仿宋_GB2312" w:eastAsia="仿宋_GB2312" w:cs="仿宋_GB2312"/>
          <w:color w:val="auto"/>
          <w:kern w:val="0"/>
          <w:sz w:val="32"/>
          <w:szCs w:val="32"/>
          <w:highlight w:val="none"/>
          <w:shd w:val="clear" w:color="auto" w:fill="FFFFFF"/>
        </w:rPr>
        <w:t>一是</w:t>
      </w:r>
      <w:r>
        <w:rPr>
          <w:rFonts w:hint="eastAsia" w:ascii="仿宋_GB2312" w:hAnsi="仿宋_GB2312" w:eastAsia="仿宋_GB2312" w:cs="仿宋_GB2312"/>
          <w:color w:val="auto"/>
          <w:kern w:val="0"/>
          <w:sz w:val="32"/>
          <w:szCs w:val="32"/>
          <w:highlight w:val="none"/>
          <w:lang w:eastAsia="zh-CN"/>
        </w:rPr>
        <w:t>切实做好被征地农民养老保障工作。</w:t>
      </w:r>
      <w:r>
        <w:rPr>
          <w:rFonts w:hint="eastAsia" w:ascii="仿宋_GB2312" w:hAnsi="仿宋_GB2312" w:eastAsia="仿宋_GB2312" w:cs="仿宋_GB2312"/>
          <w:color w:val="auto"/>
          <w:kern w:val="0"/>
          <w:sz w:val="32"/>
          <w:szCs w:val="32"/>
          <w:highlight w:val="none"/>
          <w:lang w:val="en-US" w:eastAsia="zh-CN"/>
        </w:rPr>
        <w:t>今年</w:t>
      </w:r>
      <w:r>
        <w:rPr>
          <w:rFonts w:hint="eastAsia" w:ascii="仿宋_GB2312" w:hAnsi="仿宋_GB2312" w:eastAsia="仿宋_GB2312" w:cs="仿宋_GB2312"/>
          <w:color w:val="auto"/>
          <w:kern w:val="0"/>
          <w:sz w:val="32"/>
          <w:szCs w:val="32"/>
          <w:highlight w:val="none"/>
          <w:lang w:eastAsia="zh-CN"/>
        </w:rPr>
        <w:t>已获批</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lang w:eastAsia="zh-CN"/>
        </w:rPr>
        <w:t>个征地项目涉及征地社保金</w:t>
      </w:r>
      <w:r>
        <w:rPr>
          <w:rFonts w:hint="eastAsia" w:ascii="仿宋_GB2312" w:hAnsi="仿宋_GB2312" w:eastAsia="仿宋_GB2312" w:cs="仿宋_GB2312"/>
          <w:color w:val="auto"/>
          <w:sz w:val="32"/>
          <w:szCs w:val="32"/>
          <w:lang w:val="en-US" w:eastAsia="zh-CN"/>
        </w:rPr>
        <w:t>153.36</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lang w:eastAsia="zh-CN"/>
        </w:rPr>
        <w:t>已全部分配落实到农民个人；同时已向上级部门报送</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lang w:eastAsia="zh-CN"/>
        </w:rPr>
        <w:t>个新征地项目征地社保审核组卷材料，均已获得社保审核意见书。</w:t>
      </w:r>
      <w:r>
        <w:rPr>
          <w:rFonts w:hint="eastAsia" w:ascii="仿宋_GB2312" w:hAnsi="仿宋_GB2312" w:eastAsia="仿宋_GB2312" w:cs="仿宋_GB2312"/>
          <w:color w:val="auto"/>
          <w:kern w:val="0"/>
          <w:sz w:val="32"/>
          <w:szCs w:val="32"/>
          <w:highlight w:val="none"/>
          <w:shd w:val="clear" w:color="auto" w:fill="FFFFFF"/>
        </w:rPr>
        <w:t>加快推进</w:t>
      </w:r>
      <w:r>
        <w:rPr>
          <w:rFonts w:hint="eastAsia" w:ascii="仿宋_GB2312" w:hAnsi="仿宋_GB2312" w:eastAsia="仿宋_GB2312" w:cs="仿宋_GB2312"/>
          <w:color w:val="auto"/>
          <w:kern w:val="0"/>
          <w:sz w:val="32"/>
          <w:szCs w:val="32"/>
          <w:highlight w:val="none"/>
          <w:lang w:eastAsia="zh-CN"/>
        </w:rPr>
        <w:t>被征地农民养老保障</w:t>
      </w:r>
      <w:r>
        <w:rPr>
          <w:rFonts w:hint="eastAsia" w:ascii="仿宋_GB2312" w:hAnsi="仿宋_GB2312" w:eastAsia="仿宋_GB2312" w:cs="仿宋_GB2312"/>
          <w:color w:val="auto"/>
          <w:kern w:val="0"/>
          <w:sz w:val="32"/>
          <w:szCs w:val="32"/>
          <w:highlight w:val="none"/>
        </w:rPr>
        <w:t>留</w:t>
      </w:r>
      <w:r>
        <w:rPr>
          <w:rFonts w:hint="eastAsia" w:ascii="仿宋_GB2312" w:hAnsi="仿宋_GB2312" w:eastAsia="仿宋_GB2312" w:cs="仿宋_GB2312"/>
          <w:color w:val="auto"/>
          <w:kern w:val="0"/>
          <w:sz w:val="32"/>
          <w:szCs w:val="32"/>
        </w:rPr>
        <w:t>存资金分配工作。我县被征地农民养老保障留存资金任务数为3629.7</w:t>
      </w: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万元，截至</w:t>
      </w: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rPr>
        <w:t>月30日，我县已完成分配落实到人3623.8</w:t>
      </w: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万元，结余5.94万元（剩余未分配征地社保金5.94万元涉及的被征地村正在走司法程序，已上诉到广东省高级人民法院但目前仍未出判决结果，根据省厅</w:t>
      </w:r>
      <w:r>
        <w:rPr>
          <w:rFonts w:hint="eastAsia" w:ascii="仿宋_GB2312" w:hAnsi="仿宋_GB2312" w:eastAsia="仿宋_GB2312" w:cs="仿宋_GB2312"/>
          <w:color w:val="auto"/>
          <w:kern w:val="0"/>
          <w:sz w:val="32"/>
          <w:szCs w:val="32"/>
          <w:lang w:eastAsia="zh-CN"/>
        </w:rPr>
        <w:t>答复</w:t>
      </w:r>
      <w:r>
        <w:rPr>
          <w:rFonts w:hint="eastAsia" w:ascii="仿宋_GB2312" w:hAnsi="仿宋_GB2312" w:eastAsia="仿宋_GB2312" w:cs="仿宋_GB2312"/>
          <w:color w:val="auto"/>
          <w:kern w:val="0"/>
          <w:sz w:val="32"/>
          <w:szCs w:val="32"/>
        </w:rPr>
        <w:t>可暂缓实施留存资金分配任务，待程序结束后按结果执行），完成率为99.84</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，视同如期完成</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lang w:eastAsia="zh-CN"/>
        </w:rPr>
        <w:t>二</w:t>
      </w:r>
      <w:r>
        <w:rPr>
          <w:rFonts w:hint="eastAsia" w:ascii="仿宋_GB2312" w:hAnsi="仿宋_GB2312" w:eastAsia="仿宋_GB2312" w:cs="仿宋_GB2312"/>
          <w:color w:val="auto"/>
          <w:kern w:val="0"/>
          <w:sz w:val="32"/>
          <w:szCs w:val="32"/>
        </w:rPr>
        <w:t>是做好工伤认定工作。据统计，</w:t>
      </w:r>
      <w:r>
        <w:rPr>
          <w:rFonts w:hint="eastAsia" w:ascii="仿宋_GB2312" w:hAnsi="仿宋_GB2312" w:eastAsia="仿宋_GB2312" w:cs="仿宋_GB2312"/>
          <w:color w:val="auto"/>
          <w:kern w:val="0"/>
          <w:sz w:val="32"/>
          <w:szCs w:val="32"/>
          <w:lang w:eastAsia="zh-CN"/>
        </w:rPr>
        <w:t>在2022年里，收到单位、群众提交来的工伤认定申请案件共143宗，其中：认定126宗、不予认定13宗、撤回2宗、已转案件1宗、不予受理1宗。参与行政复议1宗。三是全面深入开展社保基金提升年行动。共接收“清数”“筑墙”各险种疑点数据30518条,已核不属实数据6659条,核查率为100%;应修正数据21908条,已修正21837条,修正率99.68%;应整改154人244.46万元,已整改147人243.49万元,整改率99.60%。</w:t>
      </w:r>
    </w:p>
    <w:p>
      <w:pPr>
        <w:pStyle w:val="11"/>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highlight w:val="none"/>
        </w:rPr>
      </w:pPr>
      <w:r>
        <w:rPr>
          <w:rFonts w:hint="eastAsia" w:ascii="方正楷体简体" w:eastAsia="方正楷体简体"/>
          <w:color w:val="auto"/>
          <w:sz w:val="32"/>
          <w:szCs w:val="32"/>
        </w:rPr>
        <w:t>（三）人事</w:t>
      </w:r>
      <w:r>
        <w:rPr>
          <w:rFonts w:hint="eastAsia" w:ascii="方正楷体简体" w:eastAsia="方正楷体简体"/>
          <w:color w:val="auto"/>
          <w:sz w:val="32"/>
          <w:szCs w:val="32"/>
          <w:lang w:eastAsia="zh-CN"/>
        </w:rPr>
        <w:t>工作</w:t>
      </w:r>
      <w:r>
        <w:rPr>
          <w:rFonts w:hint="eastAsia" w:ascii="方正楷体简体" w:eastAsia="方正楷体简体"/>
          <w:color w:val="auto"/>
          <w:sz w:val="32"/>
          <w:szCs w:val="32"/>
        </w:rPr>
        <w:t>有序</w:t>
      </w:r>
      <w:r>
        <w:rPr>
          <w:rFonts w:hint="eastAsia" w:ascii="方正楷体简体" w:eastAsia="方正楷体简体"/>
          <w:color w:val="auto"/>
          <w:sz w:val="32"/>
          <w:szCs w:val="32"/>
          <w:lang w:eastAsia="zh-CN"/>
        </w:rPr>
        <w:t>开展</w:t>
      </w:r>
      <w:r>
        <w:rPr>
          <w:rFonts w:hint="eastAsia" w:ascii="方正楷体简体" w:eastAsia="方正楷体简体"/>
          <w:color w:val="auto"/>
          <w:sz w:val="32"/>
          <w:szCs w:val="32"/>
        </w:rPr>
        <w:t>。</w:t>
      </w:r>
      <w:r>
        <w:rPr>
          <w:rFonts w:hint="eastAsia" w:ascii="仿宋_GB2312" w:hAnsi="仿宋_GB2312" w:eastAsia="仿宋_GB2312" w:cs="仿宋_GB2312"/>
          <w:color w:val="auto"/>
          <w:sz w:val="32"/>
          <w:szCs w:val="32"/>
          <w:highlight w:val="none"/>
        </w:rPr>
        <w:t>一是做好事业单位人员招聘工作。</w:t>
      </w:r>
      <w:r>
        <w:rPr>
          <w:rFonts w:hint="eastAsia" w:ascii="仿宋_GB2312" w:hAnsi="仿宋_GB2312" w:eastAsia="仿宋_GB2312" w:cs="仿宋_GB2312"/>
          <w:color w:val="auto"/>
          <w:sz w:val="32"/>
          <w:szCs w:val="32"/>
          <w:highlight w:val="none"/>
          <w:lang w:val="en-US" w:eastAsia="zh-CN"/>
        </w:rPr>
        <w:t>2022年，共发布事业单位招聘8场，设置岗位</w:t>
      </w:r>
      <w:r>
        <w:rPr>
          <w:rFonts w:hint="eastAsia" w:ascii="仿宋_GB2312" w:hAnsi="仿宋_GB2312" w:eastAsia="仿宋_GB2312" w:cs="仿宋_GB2312"/>
          <w:color w:val="auto"/>
          <w:sz w:val="32"/>
          <w:szCs w:val="32"/>
          <w:highlight w:val="none"/>
        </w:rPr>
        <w:t>22</w:t>
      </w:r>
      <w:r>
        <w:rPr>
          <w:rFonts w:hint="eastAsia" w:ascii="仿宋_GB2312" w:hAnsi="仿宋_GB2312" w:eastAsia="仿宋_GB2312" w:cs="仿宋_GB2312"/>
          <w:color w:val="auto"/>
          <w:sz w:val="32"/>
          <w:szCs w:val="32"/>
          <w:highlight w:val="none"/>
          <w:lang w:val="en-US" w:eastAsia="zh-CN"/>
        </w:rPr>
        <w:t>5个</w:t>
      </w:r>
      <w:r>
        <w:rPr>
          <w:rFonts w:hint="eastAsia" w:ascii="仿宋_GB2312" w:hAnsi="仿宋_GB2312" w:eastAsia="仿宋_GB2312" w:cs="仿宋_GB2312"/>
          <w:color w:val="auto"/>
          <w:sz w:val="32"/>
          <w:szCs w:val="32"/>
          <w:highlight w:val="none"/>
        </w:rPr>
        <w:t>，已聘用</w:t>
      </w:r>
      <w:r>
        <w:rPr>
          <w:rFonts w:hint="eastAsia" w:ascii="仿宋_GB2312" w:hAnsi="仿宋_GB2312" w:eastAsia="仿宋_GB2312" w:cs="仿宋_GB2312"/>
          <w:color w:val="auto"/>
          <w:sz w:val="32"/>
          <w:szCs w:val="32"/>
          <w:highlight w:val="none"/>
          <w:lang w:val="en-US" w:eastAsia="zh-CN"/>
        </w:rPr>
        <w:t>98</w:t>
      </w:r>
      <w:r>
        <w:rPr>
          <w:rFonts w:hint="eastAsia" w:ascii="仿宋_GB2312" w:hAnsi="仿宋_GB2312" w:eastAsia="仿宋_GB2312" w:cs="仿宋_GB2312"/>
          <w:color w:val="auto"/>
          <w:sz w:val="32"/>
          <w:szCs w:val="32"/>
          <w:highlight w:val="none"/>
        </w:rPr>
        <w:t>人，12</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个岗位无可聘用人员</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目前分不同批次正在进行。</w:t>
      </w:r>
      <w:r>
        <w:rPr>
          <w:rFonts w:hint="eastAsia" w:ascii="仿宋_GB2312" w:hAnsi="仿宋_GB2312" w:eastAsia="仿宋_GB2312" w:cs="仿宋_GB2312"/>
          <w:color w:val="auto"/>
          <w:sz w:val="32"/>
          <w:szCs w:val="32"/>
          <w:highlight w:val="none"/>
          <w:lang w:eastAsia="zh-CN"/>
        </w:rPr>
        <w:t>二是分类</w:t>
      </w:r>
      <w:r>
        <w:rPr>
          <w:rFonts w:hint="eastAsia" w:ascii="仿宋_GB2312" w:hAnsi="仿宋_GB2312" w:eastAsia="仿宋_GB2312" w:cs="仿宋_GB2312"/>
          <w:color w:val="auto"/>
          <w:sz w:val="32"/>
          <w:szCs w:val="32"/>
          <w:highlight w:val="none"/>
        </w:rPr>
        <w:t>做好事业单位工作人员晋升工作</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完成管理岗位职员等级晋升40人</w:t>
      </w:r>
      <w:r>
        <w:rPr>
          <w:rFonts w:hint="eastAsia" w:ascii="仿宋_GB2312" w:hAnsi="仿宋_GB2312" w:eastAsia="仿宋_GB2312" w:cs="仿宋_GB2312"/>
          <w:color w:val="auto"/>
          <w:sz w:val="32"/>
          <w:szCs w:val="32"/>
          <w:highlight w:val="none"/>
          <w:lang w:eastAsia="zh-CN"/>
        </w:rPr>
        <w:t>，通过</w:t>
      </w:r>
      <w:r>
        <w:rPr>
          <w:rFonts w:hint="eastAsia" w:ascii="仿宋_GB2312" w:hAnsi="仿宋_GB2312" w:eastAsia="仿宋_GB2312" w:cs="仿宋_GB2312"/>
          <w:color w:val="auto"/>
          <w:sz w:val="32"/>
          <w:szCs w:val="32"/>
          <w:highlight w:val="none"/>
        </w:rPr>
        <w:t>教育系统专业技术人员小级别晋升</w:t>
      </w:r>
      <w:r>
        <w:rPr>
          <w:rFonts w:hint="eastAsia" w:ascii="仿宋_GB2312" w:hAnsi="仿宋_GB2312" w:eastAsia="仿宋_GB2312" w:cs="仿宋_GB2312"/>
          <w:color w:val="auto"/>
          <w:sz w:val="32"/>
          <w:szCs w:val="32"/>
          <w:highlight w:val="none"/>
          <w:lang w:val="en-US" w:eastAsia="zh-CN"/>
        </w:rPr>
        <w:t>334</w:t>
      </w:r>
      <w:r>
        <w:rPr>
          <w:rFonts w:hint="eastAsia" w:ascii="仿宋_GB2312" w:hAnsi="仿宋_GB2312" w:eastAsia="仿宋_GB2312" w:cs="仿宋_GB2312"/>
          <w:color w:val="auto"/>
          <w:sz w:val="32"/>
          <w:szCs w:val="32"/>
          <w:highlight w:val="none"/>
        </w:rPr>
        <w:t>名。</w:t>
      </w:r>
      <w:r>
        <w:rPr>
          <w:rFonts w:hint="eastAsia" w:ascii="仿宋_GB2312" w:hAnsi="仿宋_GB2312" w:eastAsia="仿宋_GB2312" w:cs="仿宋_GB2312"/>
          <w:color w:val="auto"/>
          <w:sz w:val="32"/>
          <w:szCs w:val="32"/>
          <w:highlight w:val="none"/>
          <w:lang w:eastAsia="zh-CN"/>
        </w:rPr>
        <w:t>三是认真做好事业单位人事管理工作。截止</w:t>
      </w:r>
      <w:r>
        <w:rPr>
          <w:rFonts w:hint="eastAsia" w:ascii="仿宋_GB2312" w:hAnsi="仿宋_GB2312" w:eastAsia="仿宋_GB2312" w:cs="仿宋_GB2312"/>
          <w:color w:val="auto"/>
          <w:sz w:val="32"/>
          <w:szCs w:val="32"/>
          <w:highlight w:val="none"/>
          <w:lang w:val="en-US" w:eastAsia="zh-CN"/>
        </w:rPr>
        <w:t>12月底，</w:t>
      </w:r>
      <w:r>
        <w:rPr>
          <w:rFonts w:hint="eastAsia" w:ascii="仿宋_GB2312" w:hAnsi="仿宋_GB2312" w:eastAsia="仿宋_GB2312" w:cs="仿宋_GB2312"/>
          <w:color w:val="auto"/>
          <w:sz w:val="32"/>
          <w:szCs w:val="32"/>
          <w:highlight w:val="none"/>
        </w:rPr>
        <w:t>受理岗位设置单位</w:t>
      </w:r>
      <w:r>
        <w:rPr>
          <w:rFonts w:hint="eastAsia" w:ascii="仿宋_GB2312" w:hAnsi="仿宋_GB2312" w:eastAsia="仿宋_GB2312" w:cs="仿宋_GB2312"/>
          <w:color w:val="auto"/>
          <w:sz w:val="32"/>
          <w:szCs w:val="32"/>
          <w:highlight w:val="none"/>
          <w:lang w:val="en-US" w:eastAsia="zh-CN"/>
        </w:rPr>
        <w:t>32</w:t>
      </w:r>
      <w:r>
        <w:rPr>
          <w:rFonts w:hint="eastAsia" w:ascii="仿宋_GB2312" w:hAnsi="仿宋_GB2312" w:eastAsia="仿宋_GB2312" w:cs="仿宋_GB2312"/>
          <w:color w:val="auto"/>
          <w:sz w:val="32"/>
          <w:szCs w:val="32"/>
          <w:highlight w:val="none"/>
        </w:rPr>
        <w:t>个，</w:t>
      </w:r>
      <w:r>
        <w:rPr>
          <w:rFonts w:hint="eastAsia" w:ascii="仿宋_GB2312" w:hAnsi="仿宋_GB2312" w:eastAsia="仿宋_GB2312" w:cs="仿宋_GB2312"/>
          <w:color w:val="auto"/>
          <w:sz w:val="32"/>
          <w:szCs w:val="32"/>
          <w:highlight w:val="none"/>
          <w:lang w:eastAsia="zh-CN"/>
        </w:rPr>
        <w:t>目前</w:t>
      </w:r>
      <w:r>
        <w:rPr>
          <w:rFonts w:hint="eastAsia" w:ascii="仿宋_GB2312" w:hAnsi="仿宋_GB2312" w:eastAsia="仿宋_GB2312" w:cs="仿宋_GB2312"/>
          <w:color w:val="auto"/>
          <w:sz w:val="32"/>
          <w:szCs w:val="32"/>
          <w:highlight w:val="none"/>
        </w:rPr>
        <w:t>经市审核已批回</w:t>
      </w:r>
      <w:r>
        <w:rPr>
          <w:rFonts w:hint="eastAsia" w:ascii="仿宋_GB2312" w:hAnsi="仿宋_GB2312" w:eastAsia="仿宋_GB2312" w:cs="仿宋_GB2312"/>
          <w:color w:val="auto"/>
          <w:sz w:val="32"/>
          <w:szCs w:val="32"/>
          <w:highlight w:val="none"/>
          <w:lang w:val="en-US" w:eastAsia="zh-CN"/>
        </w:rPr>
        <w:t>32</w:t>
      </w:r>
      <w:r>
        <w:rPr>
          <w:rFonts w:hint="eastAsia" w:ascii="仿宋_GB2312" w:hAnsi="仿宋_GB2312" w:eastAsia="仿宋_GB2312" w:cs="仿宋_GB2312"/>
          <w:color w:val="auto"/>
          <w:sz w:val="32"/>
          <w:szCs w:val="32"/>
          <w:highlight w:val="none"/>
        </w:rPr>
        <w:t>个</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lang w:val="en-US" w:eastAsia="zh-CN"/>
        </w:rPr>
        <w:t>办理退役士官安置到工勤岗3人，辞职45人，县内调动37人。</w:t>
      </w:r>
      <w:r>
        <w:rPr>
          <w:rFonts w:hint="eastAsia" w:ascii="仿宋_GB2312" w:hAnsi="仿宋_GB2312" w:eastAsia="仿宋_GB2312" w:cs="仿宋_GB2312"/>
          <w:color w:val="auto"/>
          <w:sz w:val="32"/>
          <w:szCs w:val="32"/>
          <w:highlight w:val="none"/>
          <w:lang w:eastAsia="zh-CN"/>
        </w:rPr>
        <w:t>四是</w:t>
      </w:r>
      <w:r>
        <w:rPr>
          <w:rFonts w:hint="eastAsia" w:ascii="仿宋_GB2312" w:hAnsi="仿宋" w:eastAsia="仿宋_GB2312"/>
          <w:bCs/>
          <w:color w:val="auto"/>
          <w:sz w:val="32"/>
          <w:szCs w:val="32"/>
          <w:highlight w:val="none"/>
        </w:rPr>
        <w:t>认真做好职称管理工作。</w:t>
      </w:r>
      <w:r>
        <w:rPr>
          <w:rFonts w:hint="eastAsia" w:ascii="仿宋_GB2312" w:hAnsi="仿宋" w:eastAsia="仿宋_GB2312"/>
          <w:color w:val="auto"/>
          <w:sz w:val="32"/>
          <w:szCs w:val="32"/>
          <w:highlight w:val="none"/>
        </w:rPr>
        <w:t>受理202</w:t>
      </w:r>
      <w:r>
        <w:rPr>
          <w:rFonts w:hint="eastAsia" w:ascii="仿宋_GB2312" w:hAnsi="仿宋" w:eastAsia="仿宋_GB2312"/>
          <w:color w:val="auto"/>
          <w:sz w:val="32"/>
          <w:szCs w:val="32"/>
          <w:highlight w:val="none"/>
          <w:lang w:val="en-US" w:eastAsia="zh-CN"/>
        </w:rPr>
        <w:t>2</w:t>
      </w:r>
      <w:r>
        <w:rPr>
          <w:rFonts w:hint="eastAsia" w:ascii="仿宋_GB2312" w:hAnsi="仿宋" w:eastAsia="仿宋_GB2312"/>
          <w:color w:val="auto"/>
          <w:sz w:val="32"/>
          <w:szCs w:val="32"/>
          <w:highlight w:val="none"/>
        </w:rPr>
        <w:t>年申报职称评审与认定</w:t>
      </w:r>
      <w:r>
        <w:rPr>
          <w:rFonts w:hint="eastAsia" w:ascii="仿宋_GB2312" w:hAnsi="仿宋" w:eastAsia="仿宋_GB2312"/>
          <w:color w:val="auto"/>
          <w:sz w:val="32"/>
          <w:szCs w:val="32"/>
          <w:highlight w:val="none"/>
          <w:lang w:val="en-US" w:eastAsia="zh-CN"/>
        </w:rPr>
        <w:t>84</w:t>
      </w:r>
      <w:r>
        <w:rPr>
          <w:rFonts w:hint="eastAsia" w:ascii="仿宋_GB2312" w:hAnsi="仿宋" w:eastAsia="仿宋_GB2312"/>
          <w:color w:val="auto"/>
          <w:sz w:val="32"/>
          <w:szCs w:val="32"/>
          <w:highlight w:val="none"/>
        </w:rPr>
        <w:t>人，通过</w:t>
      </w:r>
      <w:r>
        <w:rPr>
          <w:rFonts w:hint="eastAsia" w:ascii="仿宋_GB2312" w:hAnsi="仿宋" w:eastAsia="仿宋_GB2312"/>
          <w:color w:val="auto"/>
          <w:sz w:val="32"/>
          <w:szCs w:val="32"/>
          <w:highlight w:val="none"/>
          <w:lang w:val="en-US" w:eastAsia="zh-CN"/>
        </w:rPr>
        <w:t>79</w:t>
      </w:r>
      <w:r>
        <w:rPr>
          <w:rFonts w:hint="eastAsia" w:ascii="仿宋_GB2312" w:hAnsi="仿宋" w:eastAsia="仿宋_GB2312"/>
          <w:color w:val="auto"/>
          <w:sz w:val="32"/>
          <w:szCs w:val="32"/>
          <w:highlight w:val="none"/>
        </w:rPr>
        <w:t>人</w:t>
      </w:r>
      <w:r>
        <w:rPr>
          <w:rFonts w:hint="eastAsia" w:ascii="仿宋_GB2312" w:hAnsi="仿宋" w:eastAsia="仿宋_GB2312"/>
          <w:color w:val="auto"/>
          <w:sz w:val="32"/>
          <w:szCs w:val="32"/>
          <w:highlight w:val="none"/>
          <w:lang w:eastAsia="zh-CN"/>
        </w:rPr>
        <w:t>。</w:t>
      </w:r>
      <w:r>
        <w:rPr>
          <w:rFonts w:hint="eastAsia" w:ascii="仿宋_GB2312" w:eastAsia="仿宋_GB2312"/>
          <w:color w:val="auto"/>
          <w:sz w:val="32"/>
          <w:szCs w:val="32"/>
          <w:highlight w:val="none"/>
        </w:rPr>
        <w:t>受理送县外评委会的职称申报材料共262份。同意续期县东阳光实业发展有限公司非公有组织职称申报点两年</w:t>
      </w:r>
      <w:r>
        <w:rPr>
          <w:rFonts w:hint="eastAsia" w:ascii="仿宋_GB2312" w:hAnsi="仿宋" w:eastAsia="仿宋_GB2312"/>
          <w:color w:val="auto"/>
          <w:sz w:val="32"/>
          <w:szCs w:val="32"/>
          <w:highlight w:val="none"/>
        </w:rPr>
        <w:t>。</w:t>
      </w:r>
      <w:r>
        <w:rPr>
          <w:rFonts w:hint="eastAsia" w:ascii="仿宋_GB2312" w:hAnsi="仿宋" w:eastAsia="仿宋_GB2312"/>
          <w:color w:val="auto"/>
          <w:sz w:val="32"/>
          <w:szCs w:val="32"/>
          <w:highlight w:val="none"/>
          <w:lang w:eastAsia="zh-CN"/>
        </w:rPr>
        <w:t>根据市人社指示</w:t>
      </w:r>
      <w:r>
        <w:rPr>
          <w:rFonts w:hint="eastAsia" w:ascii="仿宋_GB2312" w:hAnsi="仿宋" w:eastAsia="仿宋_GB2312"/>
          <w:b w:val="0"/>
          <w:bCs w:val="0"/>
          <w:color w:val="auto"/>
          <w:sz w:val="32"/>
          <w:szCs w:val="32"/>
          <w:lang w:val="en-US" w:eastAsia="zh-CN"/>
        </w:rPr>
        <w:t>认真开展职称工作规范化检查，在各县区人社局和评委会中表现优秀。</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是做好工资福利工作。</w:t>
      </w:r>
      <w:r>
        <w:rPr>
          <w:rFonts w:hint="eastAsia" w:ascii="仿宋_GB2312" w:hAnsi="Calibri" w:eastAsia="仿宋_GB2312"/>
          <w:color w:val="auto"/>
          <w:sz w:val="32"/>
          <w:szCs w:val="32"/>
        </w:rPr>
        <w:t>做好财政统发工资和</w:t>
      </w:r>
      <w:r>
        <w:rPr>
          <w:rFonts w:hint="eastAsia" w:ascii="仿宋_GB2312" w:eastAsia="仿宋_GB2312"/>
          <w:color w:val="auto"/>
          <w:sz w:val="32"/>
          <w:szCs w:val="32"/>
        </w:rPr>
        <w:t>绩效工资总量和奖励性绩效</w:t>
      </w:r>
      <w:r>
        <w:rPr>
          <w:rFonts w:hint="eastAsia" w:ascii="仿宋_GB2312" w:hAnsi="Calibri" w:eastAsia="仿宋_GB2312"/>
          <w:color w:val="auto"/>
          <w:sz w:val="32"/>
          <w:szCs w:val="32"/>
        </w:rPr>
        <w:t>审核及住房补贴、交通补贴和乡镇补贴等变动审核的各项常规工作。</w:t>
      </w:r>
      <w:r>
        <w:rPr>
          <w:rFonts w:hint="eastAsia" w:ascii="仿宋_GB2312" w:hAnsi="Calibri" w:eastAsia="仿宋_GB2312"/>
          <w:color w:val="auto"/>
          <w:sz w:val="32"/>
          <w:szCs w:val="32"/>
          <w:highlight w:val="none"/>
          <w:lang w:eastAsia="zh-CN"/>
        </w:rPr>
        <w:t>六</w:t>
      </w:r>
      <w:r>
        <w:rPr>
          <w:rFonts w:hint="eastAsia" w:ascii="仿宋_GB2312" w:hAnsi="仿宋_GB2312" w:eastAsia="仿宋_GB2312" w:cs="仿宋_GB2312"/>
          <w:color w:val="auto"/>
          <w:sz w:val="32"/>
          <w:szCs w:val="32"/>
          <w:highlight w:val="none"/>
        </w:rPr>
        <w:t>是做好人才服务工作。深入实施韶关新时代“百团千才万匠”人才工程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引进和认定青年人才23人，认定专业技术人才5人，另有创新创业人才4人、专业技术人才24人的申报工作正在进行中。完成1家县级乡村振兴人才驿站和6家乡镇乡村振兴人才驿站的筹建、揭牌工作并拨付运营管理资金</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2022年，全县累计开展各类人才活动</w:t>
      </w:r>
      <w:r>
        <w:rPr>
          <w:rFonts w:hint="eastAsia" w:ascii="仿宋_GB2312" w:hAnsi="仿宋_GB2312" w:eastAsia="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lang w:eastAsia="zh-CN"/>
        </w:rPr>
        <w:t>场，</w:t>
      </w:r>
      <w:r>
        <w:rPr>
          <w:rFonts w:hint="eastAsia" w:ascii="仿宋_GB2312" w:hAnsi="仿宋_GB2312" w:eastAsia="仿宋_GB2312" w:cs="仿宋_GB2312"/>
          <w:color w:val="auto"/>
          <w:sz w:val="32"/>
          <w:szCs w:val="32"/>
          <w:highlight w:val="none"/>
        </w:rPr>
        <w:t>柔性引进6</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名专家学者。验收82套金源城市花园才公寓及活动中心，2022年，我县共有53位符合条件的人才入住我县人才公寓。开展2022年高校毕业生就业服务专项行动</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举办3场高校毕业生专场招聘会，共组织41个招聘单位提供843个工作岗位，促进59人与招聘单位达成就业意向；落实实名跟踪就业服务，为176名有意愿就业的高校毕业生提供 “1311”服务，2022年我县应届高校毕业生就业率达90.8%。落实人才激励优惠政策</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发放高校毕业生基层就业补贴38.5万元，惠及77人，开展2022年高校毕业生在韶就业补贴项目申报工作,受理审核224人补贴216.8万，并发放2批2021年在韶就业补贴共356.72万，惠及397人。2022年新增认定就业见习基地11个，开发就业见习岗位266个，参加见习115人；做好“三支一扶”大学生管理工作</w:t>
      </w:r>
      <w:r>
        <w:rPr>
          <w:rFonts w:hint="eastAsia" w:ascii="仿宋_GB2312" w:hAnsi="仿宋_GB2312" w:eastAsia="仿宋_GB2312" w:cs="仿宋_GB2312"/>
          <w:color w:val="auto"/>
          <w:sz w:val="32"/>
          <w:szCs w:val="32"/>
          <w:highlight w:val="none"/>
          <w:lang w:eastAsia="zh-CN"/>
        </w:rPr>
        <w:t>，2022年新招募“三支一扶”大学生20人，目前在岗共31人</w:t>
      </w:r>
      <w:r>
        <w:rPr>
          <w:rFonts w:hint="eastAsia" w:ascii="仿宋_GB2312" w:hAnsi="仿宋_GB2312" w:eastAsia="仿宋_GB2312" w:cs="仿宋_GB2312"/>
          <w:color w:val="auto"/>
          <w:sz w:val="32"/>
          <w:szCs w:val="32"/>
          <w:highlight w:val="none"/>
        </w:rPr>
        <w:t>。2022年，共接收流动人员档案9</w:t>
      </w:r>
      <w:r>
        <w:rPr>
          <w:rFonts w:hint="eastAsia" w:ascii="仿宋_GB2312" w:hAnsi="仿宋_GB2312" w:eastAsia="仿宋_GB2312" w:cs="仿宋_GB2312"/>
          <w:color w:val="auto"/>
          <w:sz w:val="32"/>
          <w:szCs w:val="32"/>
          <w:highlight w:val="none"/>
          <w:lang w:val="en-US" w:eastAsia="zh-CN"/>
        </w:rPr>
        <w:t>54</w:t>
      </w:r>
      <w:r>
        <w:rPr>
          <w:rFonts w:hint="eastAsia" w:ascii="仿宋_GB2312" w:hAnsi="仿宋_GB2312" w:eastAsia="仿宋_GB2312" w:cs="仿宋_GB2312"/>
          <w:color w:val="auto"/>
          <w:sz w:val="32"/>
          <w:szCs w:val="32"/>
          <w:highlight w:val="none"/>
        </w:rPr>
        <w:t>份，转出流动人员档案3</w:t>
      </w:r>
      <w:r>
        <w:rPr>
          <w:rFonts w:hint="eastAsia" w:ascii="仿宋_GB2312" w:hAnsi="仿宋_GB2312" w:eastAsia="仿宋_GB2312" w:cs="仿宋_GB2312"/>
          <w:color w:val="auto"/>
          <w:sz w:val="32"/>
          <w:szCs w:val="32"/>
          <w:highlight w:val="none"/>
          <w:lang w:val="en-US" w:eastAsia="zh-CN"/>
        </w:rPr>
        <w:t>67</w:t>
      </w:r>
      <w:r>
        <w:rPr>
          <w:rFonts w:hint="eastAsia" w:ascii="仿宋_GB2312" w:hAnsi="仿宋_GB2312" w:eastAsia="仿宋_GB2312" w:cs="仿宋_GB2312"/>
          <w:color w:val="auto"/>
          <w:sz w:val="32"/>
          <w:szCs w:val="32"/>
          <w:highlight w:val="none"/>
        </w:rPr>
        <w:t>份，开具调档函10</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份、流动人员档案转递通知单200余份，协助各单位查阅档案超</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00人次。开展干部人事档案信息规范提升工作，初审完成90份，复审完成86份（其中中层正职以上29份）。</w:t>
      </w:r>
    </w:p>
    <w:p>
      <w:pPr>
        <w:pStyle w:val="11"/>
        <w:spacing w:before="0" w:beforeAutospacing="0" w:after="0" w:afterAutospacing="0" w:line="560" w:lineRule="exact"/>
        <w:ind w:firstLine="640" w:firstLineChars="200"/>
        <w:jc w:val="both"/>
        <w:rPr>
          <w:rFonts w:hint="eastAsia" w:ascii="仿宋_GB2312" w:hAnsi="仿宋_GB2312" w:eastAsia="仿宋_GB2312" w:cs="仿宋_GB2312"/>
          <w:color w:val="auto"/>
          <w:sz w:val="32"/>
          <w:szCs w:val="32"/>
          <w:lang w:eastAsia="zh-CN"/>
        </w:rPr>
      </w:pPr>
      <w:r>
        <w:rPr>
          <w:rFonts w:hint="eastAsia" w:ascii="方正楷体简体" w:eastAsia="方正楷体简体"/>
          <w:color w:val="auto"/>
          <w:sz w:val="32"/>
          <w:szCs w:val="32"/>
        </w:rPr>
        <w:t>（四）劳动纠纷有效化解。</w:t>
      </w:r>
      <w:r>
        <w:rPr>
          <w:rFonts w:hint="eastAsia" w:ascii="仿宋_GB2312" w:hAnsi="仿宋_GB2312" w:eastAsia="仿宋_GB2312" w:cs="仿宋_GB2312"/>
          <w:color w:val="auto"/>
          <w:sz w:val="32"/>
          <w:szCs w:val="32"/>
          <w:highlight w:val="none"/>
        </w:rPr>
        <w:t>一是</w:t>
      </w:r>
      <w:r>
        <w:rPr>
          <w:rFonts w:hint="eastAsia" w:ascii="仿宋_GB2312" w:hAnsi="仿宋_GB2312" w:eastAsia="仿宋_GB2312" w:cs="仿宋_GB2312"/>
          <w:color w:val="auto"/>
          <w:sz w:val="30"/>
          <w:szCs w:val="30"/>
          <w:highlight w:val="none"/>
        </w:rPr>
        <w:t>大力开展“根治欠薪”“韶薪无忧”“高温天气保障劳动者权益”“集中整治农民工工资问题”等专项行动，2022年，调处农民工欠薪案件108宗，追发696名农民工工资700.9046万元。全县未发生涉劳领域重大劳资纠纷案件和群体性事件，劳动关系总体保持和谐稳定。</w:t>
      </w:r>
      <w:r>
        <w:rPr>
          <w:rFonts w:hint="eastAsia" w:ascii="仿宋_GB2312" w:hAnsi="仿宋_GB2312" w:eastAsia="仿宋_GB2312" w:cs="仿宋_GB2312"/>
          <w:color w:val="auto"/>
          <w:sz w:val="32"/>
          <w:szCs w:val="32"/>
          <w:highlight w:val="none"/>
        </w:rPr>
        <w:t>二是加大执法检查力度。重点对房地产、教育、涉农领域以及农村小型工程、建筑业、加工制造业、教培和健身机构、娱乐场所、种养业、餐饮住宿业、人力资源市场等行业领域约266家企业的实名制用工、工资发放、使用未成年工、高温天气劳动者权益保障等方面开展书面检查、实地督查和巡查。检查在建工程项目共18个，未发现拖欠农民工工资情况；开展校园周边安全联合执法检查12家次，未发现非法使用未成年工情况。</w:t>
      </w:r>
      <w:r>
        <w:rPr>
          <w:rFonts w:hint="eastAsia" w:ascii="仿宋_GB2312" w:hAnsi="仿宋_GB2312" w:eastAsia="仿宋_GB2312" w:cs="仿宋_GB2312"/>
          <w:color w:val="auto"/>
          <w:sz w:val="32"/>
          <w:szCs w:val="32"/>
        </w:rPr>
        <w:t>三是做好劳动仲裁工作。2022年，我县已实现调解仲裁全流程网上办。全年收到各类劳动争议案件2</w:t>
      </w:r>
      <w:r>
        <w:rPr>
          <w:rFonts w:hint="eastAsia" w:ascii="仿宋_GB2312" w:hAnsi="仿宋_GB2312" w:eastAsia="仿宋_GB2312" w:cs="仿宋_GB2312"/>
          <w:color w:val="auto"/>
          <w:sz w:val="32"/>
          <w:szCs w:val="32"/>
          <w:lang w:val="en-US" w:eastAsia="zh-CN"/>
        </w:rPr>
        <w:t>94</w:t>
      </w:r>
      <w:r>
        <w:rPr>
          <w:rFonts w:hint="eastAsia" w:ascii="仿宋_GB2312" w:hAnsi="仿宋_GB2312" w:eastAsia="仿宋_GB2312" w:cs="仿宋_GB2312"/>
          <w:color w:val="auto"/>
          <w:sz w:val="32"/>
          <w:szCs w:val="32"/>
        </w:rPr>
        <w:t>件,涉案金额299.82万元</w:t>
      </w:r>
      <w:r>
        <w:rPr>
          <w:rFonts w:hint="eastAsia" w:ascii="仿宋_GB2312" w:hAnsi="仿宋_GB2312" w:eastAsia="仿宋_GB2312" w:cs="仿宋_GB2312"/>
          <w:color w:val="auto"/>
          <w:sz w:val="32"/>
          <w:szCs w:val="32"/>
          <w:lang w:eastAsia="zh-CN"/>
        </w:rPr>
        <w:t>。其中</w:t>
      </w:r>
      <w:r>
        <w:rPr>
          <w:rFonts w:hint="eastAsia" w:ascii="仿宋_GB2312" w:hAnsi="仿宋_GB2312" w:eastAsia="仿宋_GB2312" w:cs="仿宋_GB2312"/>
          <w:color w:val="auto"/>
          <w:sz w:val="32"/>
          <w:szCs w:val="32"/>
        </w:rPr>
        <w:t>案外调解劳动争议154件，不予受理27件，立案审理劳动人事争议112件，年度未结案件1件</w:t>
      </w:r>
      <w:r>
        <w:rPr>
          <w:rFonts w:hint="eastAsia" w:ascii="仿宋_GB2312" w:hAnsi="仿宋_GB2312" w:eastAsia="仿宋_GB2312" w:cs="仿宋_GB2312"/>
          <w:color w:val="auto"/>
          <w:sz w:val="32"/>
          <w:szCs w:val="32"/>
          <w:lang w:eastAsia="zh-CN"/>
        </w:rPr>
        <w:t>。</w:t>
      </w:r>
    </w:p>
    <w:p>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方正楷体简体" w:eastAsia="方正楷体简体"/>
          <w:color w:val="auto"/>
          <w:sz w:val="32"/>
          <w:szCs w:val="32"/>
        </w:rPr>
        <w:t>（五）“三项工程”取得突破。</w:t>
      </w:r>
      <w:r>
        <w:rPr>
          <w:rFonts w:hint="eastAsia" w:ascii="仿宋_GB2312" w:hAnsi="仿宋_GB2312" w:eastAsia="仿宋_GB2312" w:cs="仿宋_GB2312"/>
          <w:color w:val="auto"/>
          <w:kern w:val="0"/>
          <w:sz w:val="32"/>
          <w:szCs w:val="32"/>
          <w:lang w:val="en-US" w:eastAsia="zh-CN" w:bidi="ar-SA"/>
        </w:rPr>
        <w:t>一是坚持市场导向、多措并举，全力推动“粤菜师傅”工程高质量发展。积极推荐选手参加市星级“粤菜师傅”认定工作以及市级职业技能竞赛。深入社区、镇对城镇化、4050、残疾人等群体开展“粤菜师傅”技能培训4场共120人次。以乳源特色食材打造出别具一格的乳源“一席特色菜”，印制乳源“一席特色菜”册子3000册，并在乳源各镇、各餐饮民宿及市“粤菜师傅”技能竞赛、粤港澳大湾区“粤菜师傅”技能竞赛中投放，既带动了我县农副产品产业链发展，又擦亮了我县客家美食品牌。积极组织选手参加韶关市第四届“粤菜师傅”技能工匠大赛、参加市级星级厨师、“韶州客家菜”特色店、特色美食评选活动，我县厨师谢应良、张春龙获评广东省“一星级粤菜师傅”称号，文龙获评广东省“二星级粤菜师傅”称号，李杰聪获评广东省“三星级粤菜师傅”称号；乳源瑶族自治县新记烧鹅店、乳源瑶族自治县食家园餐厅、乳源瑶族自治县鱼意坊餐饮管理有限公司获得韶关市首批“韶州客家菜”特色店称号；乳源瑶族自治县新记烧鹅店出品客家蛋角煲获得首批“韶州客家菜”特色菜称号。二是坚持服务企业、循序渐近，以“广东技工”支撑我县制造业和现代产业高质量发展。组织企业员工参加高危企业在岗员工安全技能培训、企业新型学徒制等培训项目1712人。协助指导东阳光公司、胜蓝电子有限公司、乳源中职学校开展职业技能等级认定，2022年成功认定技能等级认定999人，其中东阳光技能等级认定人数688人，乳源中职学校311人。三是坚持问题导向、服务群众，打造“南粤家政”放心品牌。以赛促培，提升家政服务从业人员技能。2022年，我县选手在韶关市第三届“南粤家政”技能竞赛中获得1银、1铜、5个优胜奖的佳绩。选手文玉梅获省“南粤家政”技能竞赛优胜奖。组织劳动力参加育婴员、妇婴护理、家政服务员、养老护理员、中医走罐调理技能等项目培训共361人次，带动就业创业近400人次。</w:t>
      </w:r>
    </w:p>
    <w:p>
      <w:pPr>
        <w:spacing w:line="600" w:lineRule="exact"/>
        <w:ind w:firstLine="643" w:firstLineChars="200"/>
        <w:rPr>
          <w:rFonts w:ascii="仿宋_GB2312" w:hAnsi="仿宋_GB2312" w:eastAsia="仿宋_GB2312" w:cs="仿宋_GB2312"/>
          <w:b/>
          <w:bCs/>
          <w:sz w:val="32"/>
          <w:szCs w:val="32"/>
          <w:shd w:val="clear" w:color="auto" w:fill="FFFFFF"/>
        </w:rPr>
      </w:pPr>
      <w:r>
        <w:rPr>
          <w:rFonts w:hint="eastAsia" w:ascii="仿宋_GB2312" w:hAnsi="黑体" w:eastAsia="仿宋_GB2312"/>
          <w:b/>
          <w:bCs/>
          <w:sz w:val="32"/>
          <w:szCs w:val="32"/>
        </w:rPr>
        <w:t>四、</w:t>
      </w:r>
      <w:r>
        <w:rPr>
          <w:rFonts w:hint="eastAsia" w:ascii="仿宋_GB2312" w:hAnsi="仿宋_GB2312" w:eastAsia="仿宋_GB2312" w:cs="仿宋_GB2312"/>
          <w:b/>
          <w:bCs/>
          <w:sz w:val="32"/>
          <w:szCs w:val="32"/>
          <w:shd w:val="clear" w:color="auto" w:fill="FFFFFF"/>
        </w:rPr>
        <w:t>固定资产方面</w:t>
      </w:r>
    </w:p>
    <w:p>
      <w:pPr>
        <w:spacing w:line="600" w:lineRule="exact"/>
        <w:ind w:firstLine="560" w:firstLineChars="175"/>
        <w:rPr>
          <w:rFonts w:hint="eastAsia" w:ascii="仿宋_GB2312" w:hAnsi="仿宋" w:eastAsia="仿宋_GB2312" w:cs="仿宋"/>
          <w:sz w:val="32"/>
          <w:szCs w:val="32"/>
          <w:lang w:val="zh-CN"/>
        </w:rPr>
      </w:pPr>
      <w:r>
        <w:rPr>
          <w:rFonts w:hint="eastAsia" w:ascii="仿宋_GB2312" w:hAnsi="仿宋_GB2312" w:eastAsia="仿宋_GB2312" w:cs="仿宋_GB2312"/>
          <w:sz w:val="32"/>
          <w:szCs w:val="32"/>
          <w:shd w:val="clear" w:color="auto" w:fill="FFFFFF"/>
        </w:rPr>
        <w:t xml:space="preserve"> </w:t>
      </w:r>
      <w:r>
        <w:rPr>
          <w:rFonts w:hint="eastAsia" w:ascii="仿宋_GB2312" w:hAnsi="仿宋_GB2312" w:eastAsia="仿宋_GB2312" w:cs="仿宋_GB2312"/>
          <w:color w:val="FF0000"/>
          <w:sz w:val="32"/>
          <w:szCs w:val="32"/>
          <w:shd w:val="clear" w:color="auto" w:fill="FFFFFF"/>
        </w:rPr>
        <w:t xml:space="preserve"> </w:t>
      </w:r>
      <w:r>
        <w:rPr>
          <w:rFonts w:hint="eastAsia" w:ascii="仿宋_GB2312" w:hAnsi="仿宋" w:eastAsia="仿宋_GB2312" w:cs="仿宋"/>
          <w:sz w:val="32"/>
          <w:szCs w:val="32"/>
          <w:lang w:val="zh-CN"/>
        </w:rPr>
        <w:t>截至202</w:t>
      </w:r>
      <w:r>
        <w:rPr>
          <w:rFonts w:hint="eastAsia" w:ascii="仿宋_GB2312" w:hAnsi="仿宋" w:eastAsia="仿宋_GB2312" w:cs="仿宋"/>
          <w:sz w:val="32"/>
          <w:szCs w:val="32"/>
          <w:lang w:val="en-US" w:eastAsia="zh-CN"/>
        </w:rPr>
        <w:t>2</w:t>
      </w:r>
      <w:r>
        <w:rPr>
          <w:rFonts w:hint="eastAsia" w:ascii="仿宋_GB2312" w:hAnsi="仿宋" w:eastAsia="仿宋_GB2312" w:cs="仿宋"/>
          <w:sz w:val="32"/>
          <w:szCs w:val="32"/>
          <w:lang w:val="zh-CN"/>
        </w:rPr>
        <w:t>年12月</w:t>
      </w:r>
      <w:r>
        <w:rPr>
          <w:rFonts w:ascii="仿宋_GB2312" w:hAnsi="仿宋" w:eastAsia="仿宋_GB2312" w:cs="仿宋"/>
          <w:sz w:val="32"/>
          <w:szCs w:val="32"/>
          <w:lang w:val="zh-CN"/>
        </w:rPr>
        <w:t>31</w:t>
      </w:r>
      <w:r>
        <w:rPr>
          <w:rFonts w:hint="eastAsia" w:ascii="仿宋_GB2312" w:hAnsi="仿宋" w:eastAsia="仿宋_GB2312" w:cs="仿宋"/>
          <w:sz w:val="32"/>
          <w:szCs w:val="32"/>
          <w:lang w:val="zh-CN"/>
        </w:rPr>
        <w:t>日，本单位固定资产账面净值总额</w:t>
      </w:r>
      <w:r>
        <w:rPr>
          <w:rFonts w:hint="eastAsia" w:ascii="仿宋_GB2312" w:hAnsi="仿宋" w:eastAsia="仿宋_GB2312" w:cs="仿宋"/>
          <w:sz w:val="32"/>
          <w:szCs w:val="32"/>
          <w:lang w:val="zh-CN" w:eastAsia="zh-CN"/>
        </w:rPr>
        <w:t>494.966</w:t>
      </w:r>
      <w:r>
        <w:rPr>
          <w:rFonts w:hint="eastAsia" w:ascii="仿宋_GB2312" w:hAnsi="仿宋" w:eastAsia="仿宋_GB2312" w:cs="仿宋"/>
          <w:sz w:val="32"/>
          <w:szCs w:val="32"/>
          <w:lang w:val="zh-CN"/>
        </w:rPr>
        <w:t>万元，累计折旧</w:t>
      </w:r>
      <w:r>
        <w:rPr>
          <w:rFonts w:hint="eastAsia" w:ascii="仿宋_GB2312" w:hAnsi="仿宋" w:eastAsia="仿宋_GB2312" w:cs="仿宋"/>
          <w:sz w:val="32"/>
          <w:szCs w:val="32"/>
          <w:lang w:val="zh-CN" w:eastAsia="zh-CN"/>
        </w:rPr>
        <w:t>249.718</w:t>
      </w:r>
      <w:r>
        <w:rPr>
          <w:rFonts w:hint="eastAsia" w:ascii="仿宋_GB2312" w:hAnsi="仿宋" w:eastAsia="仿宋_GB2312" w:cs="仿宋"/>
          <w:sz w:val="32"/>
          <w:szCs w:val="32"/>
          <w:lang w:val="zh-CN"/>
        </w:rPr>
        <w:t>万元，较</w:t>
      </w:r>
      <w:r>
        <w:rPr>
          <w:rFonts w:hint="eastAsia" w:ascii="仿宋_GB2312" w:hAnsi="仿宋" w:eastAsia="仿宋_GB2312" w:cs="仿宋"/>
          <w:sz w:val="32"/>
          <w:szCs w:val="32"/>
          <w:lang w:val="zh-CN" w:eastAsia="zh-CN"/>
        </w:rPr>
        <w:t>2021</w:t>
      </w:r>
      <w:r>
        <w:rPr>
          <w:rFonts w:hint="eastAsia" w:ascii="仿宋_GB2312" w:hAnsi="仿宋" w:eastAsia="仿宋_GB2312" w:cs="仿宋"/>
          <w:sz w:val="32"/>
          <w:szCs w:val="32"/>
          <w:lang w:val="zh-CN"/>
        </w:rPr>
        <w:t>年固定资产净值总额</w:t>
      </w:r>
      <w:r>
        <w:rPr>
          <w:rFonts w:hint="eastAsia" w:ascii="仿宋_GB2312" w:hAnsi="仿宋" w:eastAsia="仿宋_GB2312" w:cs="仿宋"/>
          <w:sz w:val="32"/>
          <w:szCs w:val="32"/>
          <w:lang w:val="zh-CN" w:eastAsia="zh-CN"/>
        </w:rPr>
        <w:t>增加12.55</w:t>
      </w:r>
      <w:r>
        <w:rPr>
          <w:rFonts w:hint="eastAsia" w:ascii="仿宋_GB2312" w:hAnsi="仿宋" w:eastAsia="仿宋_GB2312" w:cs="仿宋"/>
          <w:sz w:val="32"/>
          <w:szCs w:val="32"/>
          <w:lang w:val="zh-CN"/>
        </w:rPr>
        <w:t>万元，</w:t>
      </w:r>
      <w:r>
        <w:rPr>
          <w:rFonts w:hint="eastAsia" w:ascii="仿宋_GB2312" w:hAnsi="仿宋" w:eastAsia="仿宋_GB2312" w:cs="仿宋"/>
          <w:sz w:val="32"/>
          <w:szCs w:val="32"/>
          <w:lang w:val="zh-CN" w:eastAsia="zh-CN"/>
        </w:rPr>
        <w:t>增加2.601</w:t>
      </w:r>
      <w:r>
        <w:rPr>
          <w:rFonts w:hint="eastAsia" w:ascii="仿宋_GB2312" w:hAnsi="仿宋" w:eastAsia="仿宋_GB2312" w:cs="仿宋"/>
          <w:sz w:val="32"/>
          <w:szCs w:val="32"/>
          <w:lang w:val="zh-CN"/>
        </w:rPr>
        <w:t>%。其中土地账面净值</w:t>
      </w:r>
      <w:r>
        <w:rPr>
          <w:rFonts w:hint="eastAsia" w:ascii="仿宋_GB2312" w:hAnsi="仿宋" w:eastAsia="仿宋_GB2312" w:cs="仿宋"/>
          <w:sz w:val="32"/>
          <w:szCs w:val="32"/>
          <w:lang w:val="zh-CN" w:eastAsia="zh-CN"/>
        </w:rPr>
        <w:t>0</w:t>
      </w:r>
      <w:r>
        <w:rPr>
          <w:rFonts w:hint="eastAsia" w:ascii="仿宋_GB2312" w:hAnsi="仿宋" w:eastAsia="仿宋_GB2312" w:cs="仿宋"/>
          <w:sz w:val="32"/>
          <w:szCs w:val="32"/>
          <w:lang w:val="zh-CN"/>
        </w:rPr>
        <w:t>万元，占固定资产总额比</w:t>
      </w:r>
      <w:r>
        <w:rPr>
          <w:rFonts w:hint="eastAsia" w:ascii="仿宋_GB2312" w:hAnsi="仿宋" w:eastAsia="仿宋_GB2312" w:cs="仿宋"/>
          <w:sz w:val="32"/>
          <w:szCs w:val="32"/>
          <w:lang w:val="zh-CN" w:eastAsia="zh-CN"/>
        </w:rPr>
        <w:t>0</w:t>
      </w:r>
      <w:r>
        <w:rPr>
          <w:rFonts w:hint="eastAsia" w:ascii="仿宋_GB2312" w:hAnsi="仿宋" w:eastAsia="仿宋_GB2312" w:cs="仿宋"/>
          <w:sz w:val="32"/>
          <w:szCs w:val="32"/>
          <w:lang w:val="zh-CN"/>
        </w:rPr>
        <w:t>%；房屋账面净值</w:t>
      </w:r>
      <w:r>
        <w:rPr>
          <w:rFonts w:hint="eastAsia" w:ascii="仿宋_GB2312" w:hAnsi="仿宋" w:eastAsia="仿宋_GB2312" w:cs="仿宋"/>
          <w:sz w:val="32"/>
          <w:szCs w:val="32"/>
          <w:lang w:val="zh-CN" w:eastAsia="zh-CN"/>
        </w:rPr>
        <w:t>339.426</w:t>
      </w:r>
      <w:r>
        <w:rPr>
          <w:rFonts w:hint="eastAsia" w:ascii="仿宋_GB2312" w:hAnsi="仿宋" w:eastAsia="仿宋_GB2312" w:cs="仿宋"/>
          <w:sz w:val="32"/>
          <w:szCs w:val="32"/>
          <w:lang w:val="zh-CN"/>
        </w:rPr>
        <w:t>万元，占固定资产总额比</w:t>
      </w:r>
      <w:r>
        <w:rPr>
          <w:rFonts w:hint="eastAsia" w:ascii="仿宋_GB2312" w:hAnsi="仿宋" w:eastAsia="仿宋_GB2312" w:cs="仿宋"/>
          <w:sz w:val="32"/>
          <w:szCs w:val="32"/>
          <w:lang w:val="zh-CN" w:eastAsia="zh-CN"/>
        </w:rPr>
        <w:t>68.576</w:t>
      </w:r>
      <w:r>
        <w:rPr>
          <w:rFonts w:hint="eastAsia" w:ascii="仿宋_GB2312" w:hAnsi="仿宋" w:eastAsia="仿宋_GB2312" w:cs="仿宋"/>
          <w:sz w:val="32"/>
          <w:szCs w:val="32"/>
          <w:lang w:val="zh-CN"/>
        </w:rPr>
        <w:t>%；设备账面净值</w:t>
      </w:r>
      <w:r>
        <w:rPr>
          <w:rFonts w:hint="eastAsia" w:ascii="仿宋_GB2312" w:hAnsi="仿宋" w:eastAsia="仿宋_GB2312" w:cs="仿宋"/>
          <w:sz w:val="32"/>
          <w:szCs w:val="32"/>
          <w:lang w:val="zh-CN" w:eastAsia="zh-CN"/>
        </w:rPr>
        <w:t>44.935</w:t>
      </w:r>
      <w:r>
        <w:rPr>
          <w:rFonts w:hint="eastAsia" w:ascii="仿宋_GB2312" w:hAnsi="仿宋" w:eastAsia="仿宋_GB2312" w:cs="仿宋"/>
          <w:sz w:val="32"/>
          <w:szCs w:val="32"/>
          <w:lang w:val="zh-CN"/>
        </w:rPr>
        <w:t>万元，占固定资产总额比</w:t>
      </w:r>
      <w:r>
        <w:rPr>
          <w:rFonts w:hint="eastAsia" w:ascii="仿宋_GB2312" w:hAnsi="仿宋" w:eastAsia="仿宋_GB2312" w:cs="仿宋"/>
          <w:sz w:val="32"/>
          <w:szCs w:val="32"/>
          <w:lang w:val="zh-CN" w:eastAsia="zh-CN"/>
        </w:rPr>
        <w:t>9.078</w:t>
      </w:r>
      <w:r>
        <w:rPr>
          <w:rFonts w:hint="eastAsia" w:ascii="仿宋_GB2312" w:hAnsi="仿宋" w:eastAsia="仿宋_GB2312" w:cs="仿宋"/>
          <w:sz w:val="32"/>
          <w:szCs w:val="32"/>
          <w:lang w:val="zh-CN"/>
        </w:rPr>
        <w:t>%；其中车辆账面净值</w:t>
      </w:r>
      <w:r>
        <w:rPr>
          <w:rFonts w:hint="eastAsia" w:ascii="仿宋_GB2312" w:hAnsi="仿宋" w:eastAsia="仿宋_GB2312" w:cs="仿宋"/>
          <w:sz w:val="32"/>
          <w:szCs w:val="32"/>
          <w:lang w:val="zh-CN" w:eastAsia="zh-CN"/>
        </w:rPr>
        <w:t>0</w:t>
      </w:r>
      <w:r>
        <w:rPr>
          <w:rFonts w:hint="eastAsia" w:ascii="仿宋_GB2312" w:hAnsi="仿宋" w:eastAsia="仿宋_GB2312" w:cs="仿宋"/>
          <w:sz w:val="32"/>
          <w:szCs w:val="32"/>
          <w:lang w:val="zh-CN"/>
        </w:rPr>
        <w:t>万元，占固定资产总额比</w:t>
      </w:r>
      <w:r>
        <w:rPr>
          <w:rFonts w:hint="eastAsia" w:ascii="仿宋_GB2312" w:hAnsi="仿宋" w:eastAsia="仿宋_GB2312" w:cs="仿宋"/>
          <w:sz w:val="32"/>
          <w:szCs w:val="32"/>
          <w:lang w:val="zh-CN" w:eastAsia="zh-CN"/>
        </w:rPr>
        <w:t>0</w:t>
      </w:r>
      <w:r>
        <w:rPr>
          <w:rFonts w:hint="eastAsia" w:ascii="仿宋_GB2312" w:hAnsi="仿宋" w:eastAsia="仿宋_GB2312" w:cs="仿宋"/>
          <w:sz w:val="32"/>
          <w:szCs w:val="32"/>
          <w:lang w:val="zh-CN"/>
        </w:rPr>
        <w:t>%；单价</w:t>
      </w:r>
      <w:r>
        <w:rPr>
          <w:rFonts w:hint="eastAsia" w:ascii="仿宋_GB2312" w:hAnsi="仿宋" w:eastAsia="仿宋_GB2312" w:cs="仿宋"/>
          <w:sz w:val="32"/>
          <w:szCs w:val="32"/>
          <w:lang w:val="zh-CN" w:eastAsia="zh-CN"/>
        </w:rPr>
        <w:t>100</w:t>
      </w:r>
      <w:r>
        <w:rPr>
          <w:rFonts w:hint="eastAsia" w:ascii="仿宋_GB2312" w:hAnsi="仿宋" w:eastAsia="仿宋_GB2312" w:cs="仿宋"/>
          <w:sz w:val="32"/>
          <w:szCs w:val="32"/>
          <w:lang w:val="zh-CN"/>
        </w:rPr>
        <w:t>万（含）以上（不含车辆）账面原值</w:t>
      </w:r>
      <w:r>
        <w:rPr>
          <w:rFonts w:hint="eastAsia" w:ascii="仿宋_GB2312" w:hAnsi="仿宋" w:eastAsia="仿宋_GB2312" w:cs="仿宋"/>
          <w:sz w:val="32"/>
          <w:szCs w:val="32"/>
          <w:lang w:val="zh-CN" w:eastAsia="zh-CN"/>
        </w:rPr>
        <w:t>0</w:t>
      </w:r>
      <w:r>
        <w:rPr>
          <w:rFonts w:hint="eastAsia" w:ascii="仿宋_GB2312" w:hAnsi="仿宋" w:eastAsia="仿宋_GB2312" w:cs="仿宋"/>
          <w:sz w:val="32"/>
          <w:szCs w:val="32"/>
          <w:lang w:val="zh-CN"/>
        </w:rPr>
        <w:t>万元，占固定资产原值总额比</w:t>
      </w:r>
      <w:r>
        <w:rPr>
          <w:rFonts w:hint="eastAsia" w:ascii="仿宋_GB2312" w:hAnsi="仿宋" w:eastAsia="仿宋_GB2312" w:cs="仿宋"/>
          <w:sz w:val="32"/>
          <w:szCs w:val="32"/>
          <w:lang w:val="zh-CN" w:eastAsia="zh-CN"/>
        </w:rPr>
        <w:t>0</w:t>
      </w:r>
      <w:r>
        <w:rPr>
          <w:rFonts w:hint="eastAsia" w:ascii="仿宋_GB2312" w:hAnsi="仿宋" w:eastAsia="仿宋_GB2312" w:cs="仿宋"/>
          <w:sz w:val="32"/>
          <w:szCs w:val="32"/>
          <w:lang w:val="zh-CN"/>
        </w:rPr>
        <w:t>%；</w:t>
      </w:r>
      <w:r>
        <w:rPr>
          <w:rFonts w:hint="eastAsia" w:ascii="仿宋_GB2312" w:hAnsi="仿宋" w:eastAsia="仿宋_GB2312" w:cs="仿宋"/>
          <w:sz w:val="32"/>
          <w:szCs w:val="32"/>
          <w:lang w:val="zh-CN" w:eastAsia="zh-CN"/>
        </w:rPr>
        <w:t>文物和陈列品</w:t>
      </w:r>
      <w:r>
        <w:rPr>
          <w:rFonts w:hint="eastAsia" w:ascii="仿宋_GB2312" w:hAnsi="仿宋" w:eastAsia="仿宋_GB2312" w:cs="仿宋"/>
          <w:sz w:val="32"/>
          <w:szCs w:val="32"/>
          <w:lang w:val="zh-CN"/>
        </w:rPr>
        <w:t>账面净值</w:t>
      </w:r>
      <w:r>
        <w:rPr>
          <w:rFonts w:hint="eastAsia" w:ascii="仿宋_GB2312" w:hAnsi="仿宋" w:eastAsia="仿宋_GB2312" w:cs="仿宋"/>
          <w:sz w:val="32"/>
          <w:szCs w:val="32"/>
          <w:lang w:val="zh-CN" w:eastAsia="zh-CN"/>
        </w:rPr>
        <w:t>0</w:t>
      </w:r>
      <w:r>
        <w:rPr>
          <w:rFonts w:hint="eastAsia" w:ascii="仿宋_GB2312" w:hAnsi="仿宋" w:eastAsia="仿宋_GB2312" w:cs="仿宋"/>
          <w:sz w:val="32"/>
          <w:szCs w:val="32"/>
          <w:lang w:val="zh-CN"/>
        </w:rPr>
        <w:t>万元，占固定资产总额比</w:t>
      </w:r>
      <w:r>
        <w:rPr>
          <w:rFonts w:hint="eastAsia" w:ascii="仿宋_GB2312" w:hAnsi="仿宋" w:eastAsia="仿宋_GB2312" w:cs="仿宋"/>
          <w:sz w:val="32"/>
          <w:szCs w:val="32"/>
          <w:lang w:val="zh-CN" w:eastAsia="zh-CN"/>
        </w:rPr>
        <w:t>0</w:t>
      </w:r>
      <w:r>
        <w:rPr>
          <w:rFonts w:hint="eastAsia" w:ascii="仿宋_GB2312" w:hAnsi="仿宋" w:eastAsia="仿宋_GB2312" w:cs="仿宋"/>
          <w:sz w:val="32"/>
          <w:szCs w:val="32"/>
          <w:lang w:val="zh-CN"/>
        </w:rPr>
        <w:t>%；</w:t>
      </w:r>
      <w:r>
        <w:rPr>
          <w:rFonts w:hint="eastAsia" w:ascii="仿宋_GB2312" w:hAnsi="仿宋" w:eastAsia="仿宋_GB2312" w:cs="仿宋"/>
          <w:sz w:val="32"/>
          <w:szCs w:val="32"/>
          <w:lang w:val="zh-CN" w:eastAsia="zh-CN"/>
        </w:rPr>
        <w:t>图书和档案</w:t>
      </w:r>
      <w:r>
        <w:rPr>
          <w:rFonts w:hint="eastAsia" w:ascii="仿宋_GB2312" w:hAnsi="仿宋" w:eastAsia="仿宋_GB2312" w:cs="仿宋"/>
          <w:sz w:val="32"/>
          <w:szCs w:val="32"/>
          <w:lang w:val="zh-CN"/>
        </w:rPr>
        <w:t>账面净值</w:t>
      </w:r>
      <w:r>
        <w:rPr>
          <w:rFonts w:hint="eastAsia" w:ascii="仿宋_GB2312" w:hAnsi="仿宋" w:eastAsia="仿宋_GB2312" w:cs="仿宋"/>
          <w:sz w:val="32"/>
          <w:szCs w:val="32"/>
          <w:lang w:val="zh-CN" w:eastAsia="zh-CN"/>
        </w:rPr>
        <w:t>1.104</w:t>
      </w:r>
      <w:r>
        <w:rPr>
          <w:rFonts w:hint="eastAsia" w:ascii="仿宋_GB2312" w:hAnsi="仿宋" w:eastAsia="仿宋_GB2312" w:cs="仿宋"/>
          <w:sz w:val="32"/>
          <w:szCs w:val="32"/>
          <w:lang w:val="zh-CN"/>
        </w:rPr>
        <w:t>万元，占固定资产总额比</w:t>
      </w:r>
      <w:r>
        <w:rPr>
          <w:rFonts w:hint="eastAsia" w:ascii="仿宋_GB2312" w:hAnsi="仿宋" w:eastAsia="仿宋_GB2312" w:cs="仿宋"/>
          <w:sz w:val="32"/>
          <w:szCs w:val="32"/>
          <w:lang w:val="zh-CN" w:eastAsia="zh-CN"/>
        </w:rPr>
        <w:t>0.223</w:t>
      </w:r>
      <w:r>
        <w:rPr>
          <w:rFonts w:hint="eastAsia" w:ascii="仿宋_GB2312" w:hAnsi="仿宋" w:eastAsia="仿宋_GB2312" w:cs="仿宋"/>
          <w:sz w:val="32"/>
          <w:szCs w:val="32"/>
          <w:lang w:val="zh-CN"/>
        </w:rPr>
        <w:t>%；</w:t>
      </w:r>
      <w:r>
        <w:rPr>
          <w:rFonts w:hint="eastAsia" w:ascii="仿宋_GB2312" w:hAnsi="仿宋" w:eastAsia="仿宋_GB2312" w:cs="仿宋"/>
          <w:sz w:val="32"/>
          <w:szCs w:val="32"/>
          <w:lang w:val="zh-CN" w:eastAsia="zh-CN"/>
        </w:rPr>
        <w:t>家具和用具</w:t>
      </w:r>
      <w:r>
        <w:rPr>
          <w:rFonts w:hint="eastAsia" w:ascii="仿宋_GB2312" w:hAnsi="仿宋" w:eastAsia="仿宋_GB2312" w:cs="仿宋"/>
          <w:sz w:val="32"/>
          <w:szCs w:val="32"/>
          <w:lang w:val="zh-CN"/>
        </w:rPr>
        <w:t>账面净值</w:t>
      </w:r>
      <w:r>
        <w:rPr>
          <w:rFonts w:hint="eastAsia" w:ascii="仿宋_GB2312" w:hAnsi="仿宋" w:eastAsia="仿宋_GB2312" w:cs="仿宋"/>
          <w:sz w:val="32"/>
          <w:szCs w:val="32"/>
          <w:lang w:val="zh-CN" w:eastAsia="zh-CN"/>
        </w:rPr>
        <w:t>25.366</w:t>
      </w:r>
      <w:r>
        <w:rPr>
          <w:rFonts w:hint="eastAsia" w:ascii="仿宋_GB2312" w:hAnsi="仿宋" w:eastAsia="仿宋_GB2312" w:cs="仿宋"/>
          <w:sz w:val="32"/>
          <w:szCs w:val="32"/>
          <w:lang w:val="zh-CN"/>
        </w:rPr>
        <w:t>万元，占固定资产总额比</w:t>
      </w:r>
      <w:r>
        <w:rPr>
          <w:rFonts w:hint="eastAsia" w:ascii="仿宋_GB2312" w:hAnsi="仿宋" w:eastAsia="仿宋_GB2312" w:cs="仿宋"/>
          <w:sz w:val="32"/>
          <w:szCs w:val="32"/>
          <w:lang w:val="zh-CN" w:eastAsia="zh-CN"/>
        </w:rPr>
        <w:t>5.125</w:t>
      </w:r>
      <w:r>
        <w:rPr>
          <w:rFonts w:hint="eastAsia" w:ascii="仿宋_GB2312" w:hAnsi="仿宋" w:eastAsia="仿宋_GB2312" w:cs="仿宋"/>
          <w:sz w:val="32"/>
          <w:szCs w:val="32"/>
          <w:lang w:val="zh-CN"/>
        </w:rPr>
        <w:t>%；</w:t>
      </w:r>
      <w:r>
        <w:rPr>
          <w:rFonts w:hint="eastAsia" w:ascii="仿宋_GB2312" w:hAnsi="仿宋" w:eastAsia="仿宋_GB2312" w:cs="仿宋"/>
          <w:sz w:val="32"/>
          <w:szCs w:val="32"/>
          <w:lang w:val="zh-CN" w:eastAsia="zh-CN"/>
        </w:rPr>
        <w:t>特种动植物</w:t>
      </w:r>
      <w:r>
        <w:rPr>
          <w:rFonts w:hint="eastAsia" w:ascii="仿宋_GB2312" w:hAnsi="仿宋" w:eastAsia="仿宋_GB2312" w:cs="仿宋"/>
          <w:sz w:val="32"/>
          <w:szCs w:val="32"/>
          <w:lang w:val="zh-CN"/>
        </w:rPr>
        <w:t>账面净值</w:t>
      </w:r>
      <w:r>
        <w:rPr>
          <w:rFonts w:hint="eastAsia" w:ascii="仿宋_GB2312" w:hAnsi="仿宋" w:eastAsia="仿宋_GB2312" w:cs="仿宋"/>
          <w:sz w:val="32"/>
          <w:szCs w:val="32"/>
          <w:lang w:val="zh-CN" w:eastAsia="zh-CN"/>
        </w:rPr>
        <w:t>0</w:t>
      </w:r>
      <w:r>
        <w:rPr>
          <w:rFonts w:hint="eastAsia" w:ascii="仿宋_GB2312" w:hAnsi="仿宋" w:eastAsia="仿宋_GB2312" w:cs="仿宋"/>
          <w:sz w:val="32"/>
          <w:szCs w:val="32"/>
          <w:lang w:val="zh-CN"/>
        </w:rPr>
        <w:t>万元，占固定资产总额比</w:t>
      </w:r>
      <w:r>
        <w:rPr>
          <w:rFonts w:hint="eastAsia" w:ascii="仿宋_GB2312" w:hAnsi="仿宋" w:eastAsia="仿宋_GB2312" w:cs="仿宋"/>
          <w:sz w:val="32"/>
          <w:szCs w:val="32"/>
          <w:lang w:val="zh-CN" w:eastAsia="zh-CN"/>
        </w:rPr>
        <w:t>0</w:t>
      </w:r>
      <w:r>
        <w:rPr>
          <w:rFonts w:hint="eastAsia" w:ascii="仿宋_GB2312" w:hAnsi="仿宋" w:eastAsia="仿宋_GB2312" w:cs="仿宋"/>
          <w:sz w:val="32"/>
          <w:szCs w:val="32"/>
          <w:lang w:val="zh-CN"/>
        </w:rPr>
        <w:t>%；</w:t>
      </w:r>
    </w:p>
    <w:p>
      <w:pPr>
        <w:spacing w:line="600" w:lineRule="exact"/>
        <w:ind w:firstLine="560" w:firstLineChars="175"/>
        <w:rPr>
          <w:rFonts w:ascii="仿宋_GB2312" w:hAnsi="仿宋_GB2312" w:eastAsia="仿宋_GB2312" w:cs="仿宋_GB2312"/>
          <w:sz w:val="32"/>
          <w:szCs w:val="32"/>
          <w:shd w:val="clear" w:color="auto" w:fill="FFFFFF"/>
        </w:rPr>
      </w:pPr>
      <w:r>
        <w:rPr>
          <w:rFonts w:hint="default" w:ascii="仿宋_GB2312" w:hAnsi="仿宋_GB2312" w:eastAsia="仿宋_GB2312" w:cs="仿宋_GB2312"/>
          <w:sz w:val="32"/>
          <w:szCs w:val="32"/>
          <w:shd w:val="clear" w:color="auto" w:fill="FFFFFF"/>
        </w:rPr>
        <w:t>本单位无形资产截至</w:t>
      </w:r>
      <w:r>
        <w:rPr>
          <w:rFonts w:hint="eastAsia" w:ascii="仿宋_GB2312" w:hAnsi="仿宋_GB2312" w:eastAsia="仿宋_GB2312" w:cs="仿宋_GB2312"/>
          <w:sz w:val="32"/>
          <w:szCs w:val="32"/>
          <w:shd w:val="clear" w:color="auto" w:fill="FFFFFF"/>
          <w:lang w:eastAsia="zh-CN"/>
        </w:rPr>
        <w:t>202</w:t>
      </w:r>
      <w:r>
        <w:rPr>
          <w:rFonts w:hint="eastAsia" w:ascii="仿宋_GB2312" w:hAnsi="仿宋_GB2312" w:eastAsia="仿宋_GB2312" w:cs="仿宋_GB2312"/>
          <w:sz w:val="32"/>
          <w:szCs w:val="32"/>
          <w:shd w:val="clear" w:color="auto" w:fill="FFFFFF"/>
          <w:lang w:val="en-US" w:eastAsia="zh-CN"/>
        </w:rPr>
        <w:t>2</w:t>
      </w:r>
      <w:r>
        <w:rPr>
          <w:rFonts w:hint="eastAsia" w:ascii="仿宋_GB2312" w:hAnsi="仿宋_GB2312" w:eastAsia="仿宋_GB2312" w:cs="仿宋_GB2312"/>
          <w:sz w:val="32"/>
          <w:szCs w:val="32"/>
          <w:shd w:val="clear" w:color="auto" w:fill="FFFFFF"/>
          <w:lang w:eastAsia="zh-CN"/>
        </w:rPr>
        <w:t>年12月31日</w:t>
      </w:r>
      <w:r>
        <w:rPr>
          <w:rFonts w:hint="default" w:ascii="仿宋_GB2312" w:hAnsi="仿宋_GB2312" w:eastAsia="仿宋_GB2312" w:cs="仿宋_GB2312"/>
          <w:sz w:val="32"/>
          <w:szCs w:val="32"/>
          <w:shd w:val="clear" w:color="auto" w:fill="FFFFFF"/>
        </w:rPr>
        <w:t>，账面数净值</w:t>
      </w:r>
      <w:r>
        <w:rPr>
          <w:rFonts w:hint="eastAsia" w:ascii="仿宋_GB2312" w:hAnsi="仿宋_GB2312" w:eastAsia="仿宋_GB2312" w:cs="仿宋_GB2312"/>
          <w:sz w:val="32"/>
          <w:szCs w:val="32"/>
          <w:shd w:val="clear" w:color="auto" w:fill="FFFFFF"/>
          <w:lang w:eastAsia="zh-CN"/>
        </w:rPr>
        <w:t>85.955</w:t>
      </w:r>
      <w:r>
        <w:rPr>
          <w:rFonts w:hint="default" w:ascii="仿宋_GB2312" w:hAnsi="仿宋_GB2312" w:eastAsia="仿宋_GB2312" w:cs="仿宋_GB2312"/>
          <w:sz w:val="32"/>
          <w:szCs w:val="32"/>
          <w:shd w:val="clear" w:color="auto" w:fill="FFFFFF"/>
        </w:rPr>
        <w:t>万元；其中土地使用权账面净值为</w:t>
      </w:r>
      <w:r>
        <w:rPr>
          <w:rFonts w:hint="eastAsia" w:ascii="仿宋_GB2312" w:hAnsi="仿宋_GB2312" w:eastAsia="仿宋_GB2312" w:cs="仿宋_GB2312"/>
          <w:sz w:val="32"/>
          <w:szCs w:val="32"/>
          <w:shd w:val="clear" w:color="auto" w:fill="FFFFFF"/>
          <w:lang w:eastAsia="zh-CN"/>
        </w:rPr>
        <w:t>85.85</w:t>
      </w:r>
      <w:r>
        <w:rPr>
          <w:rFonts w:hint="default" w:ascii="仿宋_GB2312" w:hAnsi="仿宋_GB2312" w:eastAsia="仿宋_GB2312" w:cs="仿宋_GB2312"/>
          <w:sz w:val="32"/>
          <w:szCs w:val="32"/>
          <w:shd w:val="clear" w:color="auto" w:fill="FFFFFF"/>
        </w:rPr>
        <w:t>万元，占无形资产净值总额比</w:t>
      </w:r>
      <w:r>
        <w:rPr>
          <w:rFonts w:hint="eastAsia" w:ascii="仿宋_GB2312" w:hAnsi="仿宋_GB2312" w:eastAsia="仿宋_GB2312" w:cs="仿宋_GB2312"/>
          <w:sz w:val="32"/>
          <w:szCs w:val="32"/>
          <w:shd w:val="clear" w:color="auto" w:fill="FFFFFF"/>
          <w:lang w:eastAsia="zh-CN"/>
        </w:rPr>
        <w:t>99.878</w:t>
      </w:r>
      <w:r>
        <w:rPr>
          <w:rFonts w:hint="default" w:ascii="仿宋_GB2312" w:hAnsi="仿宋_GB2312" w:eastAsia="仿宋_GB2312" w:cs="仿宋_GB2312"/>
          <w:sz w:val="32"/>
          <w:szCs w:val="32"/>
          <w:shd w:val="clear" w:color="auto" w:fill="FFFFFF"/>
        </w:rPr>
        <w:t>%。</w:t>
      </w:r>
    </w:p>
    <w:p>
      <w:pPr>
        <w:pStyle w:val="12"/>
        <w:widowControl/>
        <w:spacing w:line="600" w:lineRule="exact"/>
        <w:ind w:firstLine="640"/>
        <w:rPr>
          <w:rFonts w:ascii="方正仿宋简体" w:hAnsi="方正仿宋简体" w:eastAsia="方正仿宋简体" w:cs="方正仿宋简体"/>
          <w:b/>
          <w:bCs/>
          <w:kern w:val="0"/>
        </w:rPr>
      </w:pPr>
      <w:r>
        <w:rPr>
          <w:rFonts w:hint="eastAsia" w:ascii="方正仿宋简体" w:hAnsi="方正仿宋简体" w:eastAsia="方正仿宋简体" w:cs="方正仿宋简体"/>
          <w:b/>
          <w:bCs/>
          <w:kern w:val="0"/>
        </w:rPr>
        <w:t>五、存在主要问题和困难</w:t>
      </w:r>
    </w:p>
    <w:p>
      <w:pPr>
        <w:spacing w:line="560" w:lineRule="exact"/>
        <w:ind w:firstLine="640" w:firstLineChars="200"/>
        <w:rPr>
          <w:rFonts w:ascii="仿宋_GB2312" w:hAnsi="仿宋_GB2312" w:eastAsia="仿宋_GB2312" w:cs="仿宋_GB2312"/>
          <w:color w:val="auto"/>
          <w:sz w:val="32"/>
          <w:szCs w:val="32"/>
        </w:rPr>
      </w:pPr>
      <w:r>
        <w:rPr>
          <w:rFonts w:hint="eastAsia" w:ascii="楷体_GB2312" w:eastAsia="楷体_GB2312"/>
          <w:color w:val="auto"/>
          <w:sz w:val="32"/>
          <w:szCs w:val="32"/>
        </w:rPr>
        <w:t>（一）就业补助资金存在缺口。</w:t>
      </w:r>
      <w:r>
        <w:rPr>
          <w:rFonts w:hint="eastAsia" w:ascii="仿宋_GB2312" w:hAnsi="仿宋_GB2312" w:eastAsia="仿宋_GB2312" w:cs="仿宋_GB2312"/>
          <w:color w:val="auto"/>
          <w:sz w:val="32"/>
          <w:szCs w:val="32"/>
        </w:rPr>
        <w:t>2022年下达中央及省级就业补助资金382万元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目前</w:t>
      </w:r>
      <w:r>
        <w:rPr>
          <w:rFonts w:hint="eastAsia" w:ascii="仿宋_GB2312" w:hAnsi="仿宋_GB2312" w:eastAsia="仿宋_GB2312" w:cs="仿宋_GB2312"/>
          <w:color w:val="auto"/>
          <w:sz w:val="32"/>
          <w:szCs w:val="32"/>
          <w:lang w:eastAsia="zh-CN"/>
        </w:rPr>
        <w:t>已支出完毕</w:t>
      </w:r>
      <w:r>
        <w:rPr>
          <w:rFonts w:hint="eastAsia" w:ascii="仿宋_GB2312" w:hAnsi="仿宋_GB2312" w:eastAsia="仿宋_GB2312" w:cs="仿宋_GB2312"/>
          <w:color w:val="auto"/>
          <w:sz w:val="32"/>
          <w:szCs w:val="32"/>
        </w:rPr>
        <w:t>。据不完全统计，</w:t>
      </w:r>
      <w:r>
        <w:rPr>
          <w:rFonts w:hint="eastAsia" w:ascii="仿宋_GB2312" w:hAnsi="仿宋_GB2312" w:eastAsia="仿宋_GB2312" w:cs="仿宋_GB2312"/>
          <w:color w:val="auto"/>
          <w:sz w:val="32"/>
          <w:szCs w:val="32"/>
          <w:lang w:val="en-US" w:eastAsia="zh-CN"/>
        </w:rPr>
        <w:t>2022年仍需资金322万元用于发放2022年下半年补贴，即目前</w:t>
      </w:r>
      <w:r>
        <w:rPr>
          <w:rFonts w:hint="eastAsia" w:ascii="仿宋_GB2312" w:hAnsi="仿宋_GB2312" w:eastAsia="仿宋_GB2312" w:cs="仿宋_GB2312"/>
          <w:color w:val="auto"/>
          <w:sz w:val="32"/>
          <w:szCs w:val="32"/>
        </w:rPr>
        <w:t>就业补助资金缺口达</w:t>
      </w:r>
      <w:r>
        <w:rPr>
          <w:rFonts w:hint="eastAsia" w:ascii="仿宋_GB2312" w:hAnsi="仿宋_GB2312" w:eastAsia="仿宋_GB2312" w:cs="仿宋_GB2312"/>
          <w:color w:val="auto"/>
          <w:sz w:val="32"/>
          <w:szCs w:val="32"/>
          <w:lang w:val="en-US" w:eastAsia="zh-CN"/>
        </w:rPr>
        <w:t>322</w:t>
      </w:r>
      <w:r>
        <w:rPr>
          <w:rFonts w:hint="eastAsia" w:ascii="仿宋_GB2312" w:hAnsi="仿宋_GB2312" w:eastAsia="仿宋_GB2312" w:cs="仿宋_GB2312"/>
          <w:color w:val="auto"/>
          <w:sz w:val="32"/>
          <w:szCs w:val="32"/>
        </w:rPr>
        <w:t>万元。</w:t>
      </w:r>
    </w:p>
    <w:p>
      <w:pPr>
        <w:topLinePunct/>
        <w:spacing w:line="560" w:lineRule="exact"/>
        <w:ind w:firstLine="640" w:firstLineChars="200"/>
        <w:rPr>
          <w:rFonts w:ascii="仿宋_GB2312" w:hAnsi="仿宋" w:eastAsia="仿宋_GB2312" w:cs="仿宋"/>
          <w:color w:val="auto"/>
          <w:sz w:val="32"/>
          <w:szCs w:val="32"/>
          <w:lang w:val="zh-CN"/>
        </w:rPr>
      </w:pPr>
      <w:r>
        <w:rPr>
          <w:rFonts w:hint="eastAsia" w:ascii="楷体_GB2312" w:eastAsia="楷体_GB2312"/>
          <w:color w:val="auto"/>
          <w:sz w:val="32"/>
          <w:szCs w:val="32"/>
        </w:rPr>
        <w:t>（二）人事人才工作进展受限。</w:t>
      </w:r>
      <w:r>
        <w:rPr>
          <w:rFonts w:hint="eastAsia" w:ascii="仿宋_GB2312" w:hAnsi="仿宋" w:eastAsia="仿宋_GB2312"/>
          <w:color w:val="auto"/>
          <w:sz w:val="32"/>
          <w:szCs w:val="32"/>
        </w:rPr>
        <w:t>一是机构编制减少，专业技术人才队伍发展受限。</w:t>
      </w:r>
      <w:r>
        <w:rPr>
          <w:rFonts w:hint="eastAsia" w:ascii="仿宋_GB2312" w:hAnsi="仿宋" w:eastAsia="仿宋_GB2312" w:cs="仿宋"/>
          <w:color w:val="auto"/>
          <w:sz w:val="32"/>
          <w:szCs w:val="32"/>
        </w:rPr>
        <w:t>机构编制减少，专技岗位各等级比例总体编低，副高以上岗位数比之前更少。晋升岗位数量的减少，打击了专业技术人才申报高一级职称的动力。</w:t>
      </w:r>
      <w:r>
        <w:rPr>
          <w:rFonts w:hint="eastAsia" w:ascii="仿宋_GB2312" w:hAnsi="仿宋" w:eastAsia="仿宋_GB2312" w:cs="仿宋"/>
          <w:color w:val="auto"/>
          <w:sz w:val="32"/>
          <w:szCs w:val="32"/>
          <w:lang w:val="zh-CN"/>
        </w:rPr>
        <w:t>二是</w:t>
      </w:r>
      <w:r>
        <w:rPr>
          <w:rFonts w:hint="eastAsia" w:ascii="仿宋_GB2312" w:hAnsi="仿宋" w:eastAsia="仿宋_GB2312" w:cs="仿宋"/>
          <w:bCs/>
          <w:color w:val="auto"/>
          <w:sz w:val="32"/>
          <w:szCs w:val="32"/>
        </w:rPr>
        <w:t>引才留才困难大。</w:t>
      </w:r>
      <w:r>
        <w:rPr>
          <w:rFonts w:hint="eastAsia" w:ascii="仿宋_GB2312" w:hAnsi="仿宋" w:eastAsia="仿宋_GB2312" w:cs="仿宋"/>
          <w:color w:val="auto"/>
          <w:sz w:val="32"/>
          <w:szCs w:val="32"/>
          <w:lang w:val="zh-CN"/>
        </w:rPr>
        <w:t>县级公开招聘对于服务年限的限制力度弱，人员流失较多，且部分紧缺专业岗位无人报考或报考人数较少，出现缺招情况，无法体现竞争、择优的原则。同时</w:t>
      </w:r>
      <w:r>
        <w:rPr>
          <w:rFonts w:hint="eastAsia" w:ascii="仿宋_GB2312" w:hAnsi="黑体" w:eastAsia="仿宋_GB2312" w:cs="黑体"/>
          <w:color w:val="auto"/>
          <w:sz w:val="32"/>
          <w:szCs w:val="32"/>
        </w:rPr>
        <w:t>与珠三角地区相比，我县薪酬待遇偏低，对人才的吸引力明显不足，处于相对滞后阶段。</w:t>
      </w:r>
    </w:p>
    <w:p>
      <w:pPr>
        <w:topLinePunct/>
        <w:spacing w:line="560" w:lineRule="exact"/>
        <w:ind w:firstLine="640" w:firstLineChars="200"/>
        <w:rPr>
          <w:rFonts w:hint="eastAsia" w:ascii="仿宋_GB2312" w:hAnsi="黑体" w:eastAsia="仿宋_GB2312" w:cs="黑体"/>
          <w:color w:val="auto"/>
          <w:sz w:val="32"/>
          <w:szCs w:val="32"/>
        </w:rPr>
      </w:pPr>
      <w:r>
        <w:rPr>
          <w:rFonts w:hint="eastAsia" w:ascii="楷体_GB2312" w:eastAsia="楷体_GB2312"/>
          <w:color w:val="auto"/>
          <w:sz w:val="32"/>
          <w:szCs w:val="32"/>
        </w:rPr>
        <w:t>（三）欠薪隐患仍然存在。</w:t>
      </w:r>
      <w:r>
        <w:rPr>
          <w:rFonts w:hint="eastAsia" w:ascii="仿宋_GB2312" w:hAnsi="黑体" w:eastAsia="仿宋_GB2312" w:cs="黑体"/>
          <w:color w:val="auto"/>
          <w:sz w:val="32"/>
          <w:szCs w:val="32"/>
        </w:rPr>
        <w:t>一是在建工程项目实名制管理不够规范</w:t>
      </w:r>
      <w:r>
        <w:rPr>
          <w:rFonts w:hint="eastAsia" w:ascii="仿宋_GB2312" w:hAnsi="黑体" w:eastAsia="仿宋_GB2312" w:cs="黑体"/>
          <w:color w:val="auto"/>
          <w:sz w:val="32"/>
          <w:szCs w:val="32"/>
          <w:lang w:eastAsia="zh-CN"/>
        </w:rPr>
        <w:t>，</w:t>
      </w:r>
      <w:r>
        <w:rPr>
          <w:rFonts w:hint="eastAsia" w:ascii="仿宋_GB2312" w:hAnsi="黑体" w:eastAsia="仿宋_GB2312" w:cs="黑体"/>
          <w:color w:val="auto"/>
          <w:sz w:val="32"/>
          <w:szCs w:val="32"/>
        </w:rPr>
        <w:t>工人工资支付分账制度落实不到位</w:t>
      </w:r>
      <w:r>
        <w:rPr>
          <w:rFonts w:hint="eastAsia" w:ascii="仿宋_GB2312" w:hAnsi="黑体" w:eastAsia="仿宋_GB2312" w:cs="黑体"/>
          <w:color w:val="auto"/>
          <w:sz w:val="32"/>
          <w:szCs w:val="32"/>
          <w:lang w:eastAsia="zh-CN"/>
        </w:rPr>
        <w:t>，</w:t>
      </w:r>
      <w:r>
        <w:rPr>
          <w:rFonts w:hint="eastAsia" w:ascii="仿宋_GB2312" w:hAnsi="黑体" w:eastAsia="仿宋_GB2312" w:cs="黑体"/>
          <w:color w:val="auto"/>
          <w:sz w:val="32"/>
          <w:szCs w:val="32"/>
        </w:rPr>
        <w:t>存在违法分包、发包、挂靠等容易诱发欠薪问题的“以包代管”情形</w:t>
      </w:r>
      <w:r>
        <w:rPr>
          <w:rFonts w:hint="eastAsia" w:ascii="仿宋_GB2312" w:hAnsi="黑体" w:eastAsia="仿宋_GB2312" w:cs="黑体"/>
          <w:color w:val="auto"/>
          <w:sz w:val="32"/>
          <w:szCs w:val="32"/>
          <w:lang w:eastAsia="zh-CN"/>
        </w:rPr>
        <w:t>，部分承包合同不规范，口头结算约定存在缺陷，容易产生分歧，合同双方相互推诿扯皮。特别是</w:t>
      </w:r>
      <w:r>
        <w:rPr>
          <w:rFonts w:hint="eastAsia" w:ascii="仿宋_GB2312" w:hAnsi="黑体" w:eastAsia="仿宋_GB2312" w:cs="黑体"/>
          <w:color w:val="auto"/>
          <w:sz w:val="32"/>
          <w:szCs w:val="32"/>
        </w:rPr>
        <w:t>农业农村基础设施建设、市政及农房改造等部分项目无需经政府或行业主管部门许可，建设周期短，用工管理不规范，监管不到位</w:t>
      </w:r>
      <w:r>
        <w:rPr>
          <w:rFonts w:hint="eastAsia" w:ascii="仿宋_GB2312" w:hAnsi="黑体" w:eastAsia="仿宋_GB2312" w:cs="黑体"/>
          <w:color w:val="auto"/>
          <w:sz w:val="32"/>
          <w:szCs w:val="32"/>
          <w:lang w:eastAsia="zh-CN"/>
        </w:rPr>
        <w:t>，</w:t>
      </w:r>
      <w:r>
        <w:rPr>
          <w:rFonts w:hint="eastAsia" w:ascii="仿宋_GB2312" w:hAnsi="黑体" w:eastAsia="仿宋_GB2312" w:cs="黑体"/>
          <w:color w:val="auto"/>
          <w:sz w:val="32"/>
          <w:szCs w:val="32"/>
        </w:rPr>
        <w:t>容易因工程数量、质量、超预算等问题引发矛盾纠纷</w:t>
      </w:r>
      <w:r>
        <w:rPr>
          <w:rFonts w:hint="eastAsia" w:ascii="仿宋_GB2312" w:hAnsi="黑体" w:eastAsia="仿宋_GB2312" w:cs="黑体"/>
          <w:color w:val="auto"/>
          <w:sz w:val="32"/>
          <w:szCs w:val="32"/>
          <w:lang w:eastAsia="zh-CN"/>
        </w:rPr>
        <w:t>，</w:t>
      </w:r>
      <w:r>
        <w:rPr>
          <w:rFonts w:hint="eastAsia" w:ascii="仿宋_GB2312" w:hAnsi="黑体" w:eastAsia="仿宋_GB2312" w:cs="黑体"/>
          <w:color w:val="auto"/>
          <w:sz w:val="32"/>
          <w:szCs w:val="32"/>
        </w:rPr>
        <w:t>加大了欠薪风险隐患。二是受经济下行和新冠疫情持续影响，部分项目由于用人单位存在资金周转困难问题，应收账款未能及时回流欠薪风险增加。</w:t>
      </w:r>
    </w:p>
    <w:p>
      <w:pPr>
        <w:pStyle w:val="2"/>
        <w:rPr>
          <w:rFonts w:hint="eastAsia" w:ascii="仿宋_GB2312" w:hAnsi="黑体" w:eastAsia="仿宋_GB2312" w:cs="黑体"/>
          <w:color w:val="auto"/>
          <w:kern w:val="2"/>
          <w:sz w:val="32"/>
          <w:szCs w:val="32"/>
          <w:lang w:val="en-US" w:eastAsia="zh-CN" w:bidi="ar-SA"/>
        </w:rPr>
      </w:pPr>
      <w:r>
        <w:rPr>
          <w:rFonts w:hint="eastAsia" w:ascii="楷体_GB2312" w:hAnsi="Times New Roman" w:eastAsia="楷体_GB2312" w:cs="Times New Roman"/>
          <w:color w:val="auto"/>
          <w:kern w:val="2"/>
          <w:sz w:val="32"/>
          <w:szCs w:val="32"/>
          <w:lang w:val="en-US" w:eastAsia="zh-CN" w:bidi="ar-SA"/>
        </w:rPr>
        <w:t>（四）培训资源未整合、部门联动性有待加强。</w:t>
      </w:r>
      <w:r>
        <w:rPr>
          <w:rFonts w:hint="eastAsia" w:ascii="仿宋_GB2312" w:hAnsi="黑体" w:eastAsia="仿宋_GB2312" w:cs="黑体"/>
          <w:color w:val="auto"/>
          <w:kern w:val="2"/>
          <w:sz w:val="32"/>
          <w:szCs w:val="32"/>
          <w:lang w:val="en-US" w:eastAsia="zh-CN" w:bidi="ar-SA"/>
        </w:rPr>
        <w:t>县相关部门都有针对自身职能开展的不以取证为主的培训项目，但由于培训资源未整合，存在部门之间类似项目反复培训，造成参训者疲于应付，部分参训人员甚至出现抵触心理，导致培训效果不佳。</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宋体" w:eastAsia="仿宋_GB2312"/>
          <w:color w:val="auto"/>
          <w:spacing w:val="-6"/>
          <w:sz w:val="32"/>
          <w:szCs w:val="32"/>
          <w:highlight w:val="none"/>
        </w:rPr>
      </w:pPr>
      <w:r>
        <w:rPr>
          <w:rFonts w:hint="eastAsia" w:ascii="楷体_GB2312" w:eastAsia="楷体_GB2312"/>
          <w:color w:val="auto"/>
          <w:sz w:val="32"/>
          <w:szCs w:val="32"/>
          <w:highlight w:val="none"/>
        </w:rPr>
        <w:t>（五）</w:t>
      </w:r>
      <w:r>
        <w:rPr>
          <w:rFonts w:hint="eastAsia" w:ascii="楷体_GB2312" w:hAnsi="楷体_GB2312" w:eastAsia="楷体_GB2312" w:cs="楷体_GB2312"/>
          <w:color w:val="auto"/>
          <w:kern w:val="2"/>
          <w:sz w:val="32"/>
          <w:szCs w:val="32"/>
          <w:highlight w:val="none"/>
          <w:lang w:val="en-US" w:eastAsia="zh-CN" w:bidi="ar-SA"/>
        </w:rPr>
        <w:t>机关事业单位编制内合同制工人、合同制干部、聘用干部补缴企业基本养老保险工作推进困难。</w:t>
      </w:r>
      <w:r>
        <w:rPr>
          <w:rFonts w:hint="eastAsia" w:ascii="仿宋_GB2312" w:hAnsi="仿宋_GB2312" w:eastAsia="仿宋_GB2312" w:cs="仿宋_GB2312"/>
          <w:color w:val="auto"/>
          <w:sz w:val="32"/>
          <w:szCs w:val="32"/>
          <w:highlight w:val="none"/>
          <w:lang w:eastAsia="zh-CN"/>
        </w:rPr>
        <w:t>此类用工形式人员在机关事业养老保险制度改革前的工作时间需缴纳企业职工基本养老保险。因</w:t>
      </w:r>
      <w:r>
        <w:rPr>
          <w:rFonts w:hint="eastAsia" w:ascii="仿宋_GB2312" w:hAnsi="仿宋_GB2312" w:eastAsia="仿宋_GB2312" w:cs="仿宋_GB2312"/>
          <w:color w:val="auto"/>
          <w:sz w:val="32"/>
          <w:szCs w:val="32"/>
          <w:highlight w:val="none"/>
        </w:rPr>
        <w:t>涉及</w:t>
      </w:r>
      <w:r>
        <w:rPr>
          <w:rFonts w:hint="eastAsia" w:ascii="仿宋_GB2312" w:hAnsi="仿宋_GB2312" w:eastAsia="仿宋_GB2312" w:cs="仿宋_GB2312"/>
          <w:color w:val="auto"/>
          <w:sz w:val="32"/>
          <w:szCs w:val="32"/>
          <w:highlight w:val="none"/>
          <w:lang w:eastAsia="zh-CN"/>
        </w:rPr>
        <w:t>人数和补缴单位多、</w:t>
      </w:r>
      <w:r>
        <w:rPr>
          <w:rFonts w:hint="eastAsia" w:ascii="仿宋_GB2312" w:hAnsi="仿宋_GB2312" w:eastAsia="仿宋_GB2312" w:cs="仿宋_GB2312"/>
          <w:color w:val="auto"/>
          <w:sz w:val="32"/>
          <w:szCs w:val="32"/>
          <w:highlight w:val="none"/>
        </w:rPr>
        <w:t>时间跨度长</w:t>
      </w:r>
      <w:r>
        <w:rPr>
          <w:rFonts w:hint="eastAsia" w:ascii="仿宋_GB2312" w:hAnsi="仿宋_GB2312" w:eastAsia="仿宋_GB2312" w:cs="仿宋_GB2312"/>
          <w:color w:val="auto"/>
          <w:sz w:val="32"/>
          <w:szCs w:val="32"/>
          <w:highlight w:val="none"/>
          <w:lang w:eastAsia="zh-CN"/>
        </w:rPr>
        <w:t>、所需资金量大，且受补缴所需档案</w:t>
      </w:r>
      <w:r>
        <w:rPr>
          <w:rFonts w:hint="eastAsia" w:ascii="仿宋_GB2312" w:hAnsi="仿宋_GB2312" w:eastAsia="仿宋_GB2312" w:cs="仿宋_GB2312"/>
          <w:color w:val="auto"/>
          <w:sz w:val="32"/>
          <w:szCs w:val="32"/>
          <w:highlight w:val="none"/>
        </w:rPr>
        <w:t>材料</w:t>
      </w:r>
      <w:r>
        <w:rPr>
          <w:rFonts w:hint="eastAsia" w:ascii="仿宋_GB2312" w:hAnsi="仿宋_GB2312" w:eastAsia="仿宋_GB2312" w:cs="仿宋_GB2312"/>
          <w:color w:val="auto"/>
          <w:sz w:val="32"/>
          <w:szCs w:val="32"/>
          <w:highlight w:val="none"/>
          <w:lang w:eastAsia="zh-CN"/>
        </w:rPr>
        <w:t>完整性、补缴基数的高低、个人补缴意愿等不确定因素影响，所需资金难以测算，补缴工作将成为今后一定时期内的日常工作</w:t>
      </w:r>
      <w:r>
        <w:rPr>
          <w:rFonts w:hint="eastAsia" w:ascii="仿宋_GB2312" w:hAnsi="宋体" w:eastAsia="仿宋_GB2312"/>
          <w:color w:val="auto"/>
          <w:spacing w:val="-6"/>
          <w:sz w:val="32"/>
          <w:szCs w:val="32"/>
          <w:highlight w:val="none"/>
        </w:rPr>
        <w:t>。</w:t>
      </w:r>
    </w:p>
    <w:p>
      <w:pPr>
        <w:pStyle w:val="12"/>
        <w:widowControl/>
        <w:spacing w:line="600" w:lineRule="exact"/>
        <w:ind w:firstLine="640"/>
        <w:rPr>
          <w:rFonts w:ascii="黑体" w:hAnsi="黑体" w:eastAsia="黑体"/>
          <w:kern w:val="0"/>
        </w:rPr>
      </w:pPr>
      <w:r>
        <w:rPr>
          <w:rFonts w:hint="eastAsia" w:ascii="黑体" w:hAnsi="黑体" w:eastAsia="黑体"/>
          <w:kern w:val="0"/>
        </w:rPr>
        <w:t>六、下一步工作计划</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（一）实现更充分更高质量就业。</w:t>
      </w:r>
      <w:r>
        <w:rPr>
          <w:rFonts w:hint="eastAsia" w:ascii="仿宋_GB2312" w:hAnsi="仿宋_GB2312" w:eastAsia="仿宋_GB2312" w:cs="仿宋_GB2312"/>
          <w:color w:val="auto"/>
          <w:sz w:val="32"/>
          <w:szCs w:val="32"/>
          <w:highlight w:val="none"/>
          <w:lang w:eastAsia="zh-CN"/>
        </w:rPr>
        <w:t>一是完善落实就业创业政策。深入实施3.0版市“促进就业十条”政策，持续开展“送政策、送资金、送服务”和职业指导下基层活动。二是大力支持重点群体就业。继续实施2022年高校毕业生就业创业十大行动，稳定高校毕业生政策性岗位供给。深化对外劳务协作，持续推进农村富余劳动力进城务工和跨区域有序流动。加大公益性岗位统筹开发力度。三是强化公共就业服务，深入实施“互联网+就业服务”，推行就业实名制服务管理。继续落实缓解企业“用工难”专项行动方案。落实规上企业用工服务机制和“一企一策”制度，开展“千名就业服务专员助万家重点企业”活动，继续推动农村电商示范站和南粤家政基层服务站工作。</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（二）大力推进社会保障各项工作。</w:t>
      </w:r>
      <w:r>
        <w:rPr>
          <w:rFonts w:hint="eastAsia" w:ascii="仿宋_GB2312" w:hAnsi="仿宋_GB2312" w:eastAsia="仿宋_GB2312" w:cs="仿宋_GB2312"/>
          <w:color w:val="auto"/>
          <w:sz w:val="32"/>
          <w:szCs w:val="32"/>
          <w:highlight w:val="none"/>
          <w:lang w:eastAsia="zh-CN"/>
        </w:rPr>
        <w:t>一是大力推进社保扩面征缴工作。深入实施全民参保计划，持续做好灵活就业人员、异地务工人员等重点群体精准扩面，继续落实好困难群体应保尽保和代缴政策，努力实现应保尽保、应收尽收，确保社保各项指标任务按时保质顺利完成。二是继续推进深化社会保障制度改革。推进企业养老保险全国统筹经办落地，做好上线全国统筹信息系统收尾工作，清理历史数据，应用新系统经办业务。巩固过渡性养老金计发办法调整重大改革成果，配合落实企业职工基本养老保险计发办法改革。积极推进机关事业单位养老保险制度改革工作，进一步推进企业养老保险缴费转移接续、中央及省属单位清算、编制内合同制工人补缴、职业年金补记基础工作，按省社保局要求落实好机关事业单位养老保险制度改革工作。三是强化经办风险防控，维护基金安全运行。不断推进“清数”各项任务落实落细，全面开展“筑墙”体系建设，完善系统风险防控规则，着力筑牢基金安全风险防控屏障。四是持续做好被征地农民养老保障工作，按照省、市新出台的文件落实新社保征地标准和规范工作流程，确保新报批征地项目的被征地农民养老保障资金按时按规做好缴费登记，保障被征地农民权益。</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eastAsia="zh-CN"/>
        </w:rPr>
        <w:t>（三）持续推进“三项工程”。</w:t>
      </w:r>
      <w:r>
        <w:rPr>
          <w:rFonts w:hint="eastAsia" w:ascii="仿宋_GB2312" w:hAnsi="仿宋_GB2312" w:eastAsia="仿宋_GB2312" w:cs="仿宋_GB2312"/>
          <w:color w:val="auto"/>
          <w:sz w:val="32"/>
          <w:szCs w:val="32"/>
          <w:highlight w:val="none"/>
          <w:lang w:eastAsia="zh-CN"/>
        </w:rPr>
        <w:t>一是认真落实《乳源瑶族自治县“粤菜师傅”“广东技工”“南粤家政”三项工程领导小组成员单位任务分工》（乳三项办[2021]1号）文件要求，进一步加强组织领导，明确工作职责，合力推进三项工程高质量发展，确保完成省市下达的工作目标任务。二是发挥部门联动，健全考核机制。拟计划出台考核机制，将三项工程目标任务完成情况纳入乡村振兴考核中。</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3290B"/>
    <w:rsid w:val="000350DD"/>
    <w:rsid w:val="000560B1"/>
    <w:rsid w:val="00094475"/>
    <w:rsid w:val="000C5916"/>
    <w:rsid w:val="00182223"/>
    <w:rsid w:val="001B1B91"/>
    <w:rsid w:val="00200F74"/>
    <w:rsid w:val="002C0107"/>
    <w:rsid w:val="003129C0"/>
    <w:rsid w:val="00350FCB"/>
    <w:rsid w:val="003926F5"/>
    <w:rsid w:val="003B25CA"/>
    <w:rsid w:val="004903E7"/>
    <w:rsid w:val="004B48EE"/>
    <w:rsid w:val="00534213"/>
    <w:rsid w:val="00566C9F"/>
    <w:rsid w:val="0064064F"/>
    <w:rsid w:val="006C565B"/>
    <w:rsid w:val="006F5DDA"/>
    <w:rsid w:val="006F6EA7"/>
    <w:rsid w:val="007912A5"/>
    <w:rsid w:val="0087074D"/>
    <w:rsid w:val="008E040B"/>
    <w:rsid w:val="009103A0"/>
    <w:rsid w:val="00916C35"/>
    <w:rsid w:val="009C14D0"/>
    <w:rsid w:val="00B071CF"/>
    <w:rsid w:val="00C0730B"/>
    <w:rsid w:val="00C75AE8"/>
    <w:rsid w:val="00C92E97"/>
    <w:rsid w:val="00D9060B"/>
    <w:rsid w:val="00E063C2"/>
    <w:rsid w:val="00E409B6"/>
    <w:rsid w:val="00E71AE6"/>
    <w:rsid w:val="00EE444F"/>
    <w:rsid w:val="00F22CA7"/>
    <w:rsid w:val="00F23F30"/>
    <w:rsid w:val="018B7A72"/>
    <w:rsid w:val="12E42DB7"/>
    <w:rsid w:val="14BE1B82"/>
    <w:rsid w:val="19D11CC1"/>
    <w:rsid w:val="1BEA0FB0"/>
    <w:rsid w:val="275A4B4E"/>
    <w:rsid w:val="27780A3F"/>
    <w:rsid w:val="2A0C3112"/>
    <w:rsid w:val="34BF20A0"/>
    <w:rsid w:val="38C97658"/>
    <w:rsid w:val="3C8B5B10"/>
    <w:rsid w:val="3DD75EFB"/>
    <w:rsid w:val="43162722"/>
    <w:rsid w:val="43704363"/>
    <w:rsid w:val="457313A9"/>
    <w:rsid w:val="468762A1"/>
    <w:rsid w:val="4883173D"/>
    <w:rsid w:val="489F088C"/>
    <w:rsid w:val="49DE6291"/>
    <w:rsid w:val="4BCA6DFA"/>
    <w:rsid w:val="4D266A8E"/>
    <w:rsid w:val="4E585402"/>
    <w:rsid w:val="53996C5F"/>
    <w:rsid w:val="54BD3D57"/>
    <w:rsid w:val="54F16A4E"/>
    <w:rsid w:val="5543426F"/>
    <w:rsid w:val="59262214"/>
    <w:rsid w:val="5A943CF5"/>
    <w:rsid w:val="5C6A63F7"/>
    <w:rsid w:val="60E77829"/>
    <w:rsid w:val="65A35C67"/>
    <w:rsid w:val="6BE4727C"/>
    <w:rsid w:val="6E7A1157"/>
    <w:rsid w:val="7B37443B"/>
    <w:rsid w:val="7D17475D"/>
    <w:rsid w:val="7EEB2D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首行缩进"/>
    <w:qFormat/>
    <w:uiPriority w:val="0"/>
    <w:pPr>
      <w:widowControl w:val="0"/>
      <w:spacing w:line="360" w:lineRule="auto"/>
      <w:ind w:firstLine="480" w:firstLineChars="200"/>
      <w:jc w:val="both"/>
    </w:pPr>
    <w:rPr>
      <w:rFonts w:ascii="Calibri" w:hAnsi="Calibri" w:eastAsia="宋体" w:cs="Times New Roman"/>
      <w:kern w:val="2"/>
      <w:sz w:val="24"/>
      <w:szCs w:val="24"/>
      <w:lang w:val="zh-CN" w:eastAsia="zh-CN" w:bidi="ar-SA"/>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Char"/>
    <w:basedOn w:val="7"/>
    <w:link w:val="4"/>
    <w:semiHidden/>
    <w:qFormat/>
    <w:uiPriority w:val="99"/>
    <w:rPr>
      <w:rFonts w:ascii="Times New Roman" w:hAnsi="Times New Roman" w:eastAsia="宋体" w:cs="Times New Roman"/>
      <w:sz w:val="18"/>
      <w:szCs w:val="18"/>
    </w:rPr>
  </w:style>
  <w:style w:type="character" w:customStyle="1" w:styleId="9">
    <w:name w:val="页脚 Char"/>
    <w:basedOn w:val="7"/>
    <w:link w:val="3"/>
    <w:semiHidden/>
    <w:qFormat/>
    <w:uiPriority w:val="99"/>
    <w:rPr>
      <w:rFonts w:ascii="Times New Roman" w:hAnsi="Times New Roman" w:eastAsia="宋体" w:cs="Times New Roman"/>
      <w:sz w:val="18"/>
      <w:szCs w:val="18"/>
    </w:rPr>
  </w:style>
  <w:style w:type="paragraph" w:customStyle="1" w:styleId="10">
    <w:name w:val="正文 New"/>
    <w:qFormat/>
    <w:uiPriority w:val="0"/>
    <w:pPr>
      <w:widowControl w:val="0"/>
      <w:jc w:val="both"/>
    </w:pPr>
    <w:rPr>
      <w:rFonts w:hint="eastAsia" w:ascii="Calibri" w:hAnsi="Calibri" w:eastAsia="宋体" w:cs="Times New Roman"/>
      <w:kern w:val="2"/>
      <w:sz w:val="21"/>
      <w:lang w:val="en-US" w:eastAsia="zh-CN" w:bidi="ar-SA"/>
    </w:rPr>
  </w:style>
  <w:style w:type="paragraph" w:customStyle="1" w:styleId="11">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
    <w:name w:val="正文 New New New New New New New New New New New New New New New"/>
    <w:basedOn w:val="1"/>
    <w:qFormat/>
    <w:uiPriority w:val="99"/>
    <w:rPr>
      <w:rFonts w:eastAsia="仿宋_GB2312"/>
      <w:sz w:val="32"/>
      <w:szCs w:val="32"/>
    </w:rPr>
  </w:style>
  <w:style w:type="paragraph" w:customStyle="1" w:styleId="13">
    <w:name w:val="排版"/>
    <w:basedOn w:val="1"/>
    <w:qFormat/>
    <w:uiPriority w:val="99"/>
    <w:pPr>
      <w:spacing w:before="300" w:after="150" w:line="580" w:lineRule="exact"/>
      <w:ind w:firstLine="200" w:firstLineChars="200"/>
    </w:pPr>
    <w:rPr>
      <w:rFonts w:ascii="仿宋_GB2312" w:hAnsi="仿宋" w:eastAsia="仿宋_GB2312" w:cs="仿宋"/>
      <w:color w:val="00000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1041</Words>
  <Characters>5939</Characters>
  <Lines>49</Lines>
  <Paragraphs>13</Paragraphs>
  <TotalTime>0</TotalTime>
  <ScaleCrop>false</ScaleCrop>
  <LinksUpToDate>false</LinksUpToDate>
  <CharactersWithSpaces>6967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lenovo</cp:lastModifiedBy>
  <cp:lastPrinted>2018-10-25T02:57:00Z</cp:lastPrinted>
  <dcterms:modified xsi:type="dcterms:W3CDTF">2023-09-08T08:05:54Z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SaveFontToCloudKey">
    <vt:lpwstr>1019534399_btnclosed</vt:lpwstr>
  </property>
  <property fmtid="{D5CDD505-2E9C-101B-9397-08002B2CF9AE}" pid="4" name="ICV">
    <vt:lpwstr>C411B188BA1245879C399365AB40305C</vt:lpwstr>
  </property>
</Properties>
</file>