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（一）项目用款单位简要情况</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乳源瑶族自治县机关事务管理局为县委、县政府直属参照公务员法管理事业单位，正科级。</w:t>
      </w:r>
    </w:p>
    <w:p>
      <w:pPr>
        <w:ind w:firstLine="640" w:firstLineChars="200"/>
        <w:jc w:val="left"/>
        <w:rPr>
          <w:rFonts w:ascii="仿宋_GB2312" w:eastAsia="仿宋_GB2312"/>
          <w:sz w:val="32"/>
          <w:szCs w:val="32"/>
        </w:rPr>
      </w:pPr>
      <w:r>
        <w:rPr>
          <w:rFonts w:hint="eastAsia" w:ascii="仿宋_GB2312" w:hAnsi="仿宋_GB2312" w:eastAsia="仿宋_GB2312" w:cs="仿宋_GB2312"/>
          <w:sz w:val="32"/>
          <w:szCs w:val="32"/>
        </w:rPr>
        <w:t>设6个正股级内设机构：综合股、接待股、资产管理股、公车管理股、计划财务股和服务保障股。</w:t>
      </w:r>
    </w:p>
    <w:p>
      <w:pPr>
        <w:numPr>
          <w:ilvl w:val="0"/>
          <w:numId w:val="1"/>
        </w:num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项目实施主要内容及实施程序</w:t>
      </w:r>
    </w:p>
    <w:p>
      <w:pPr>
        <w:numPr>
          <w:ilvl w:val="0"/>
          <w:numId w:val="2"/>
        </w:num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党建活动经费</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项目实施主要内容：深入学习习近平新时代中国特色社会主义思想和党的二十大报告的核心要义，扎实开展党史教育、党规党纪教育、革命传统教育、形势政策教育，组织开展“三会一课”、主题党日活动，组织党员开展社区报到、周五清洁日清扫、节日慰问困难群众、网格入户宣传创文和疫情防控等活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实施程序：</w:t>
      </w:r>
    </w:p>
    <w:p>
      <w:pPr>
        <w:numPr>
          <w:ilvl w:val="0"/>
          <w:numId w:val="3"/>
        </w:numPr>
        <w:spacing w:line="360" w:lineRule="auto"/>
        <w:ind w:firstLine="640" w:firstLineChars="200"/>
        <w:rPr>
          <w:rFonts w:ascii="仿宋_GB2312" w:eastAsia="仿宋_GB2312"/>
          <w:sz w:val="32"/>
          <w:szCs w:val="32"/>
        </w:rPr>
      </w:pPr>
      <w:r>
        <w:rPr>
          <w:rFonts w:hint="eastAsia" w:ascii="仿宋_GB2312" w:eastAsia="仿宋_GB2312"/>
          <w:sz w:val="32"/>
          <w:szCs w:val="32"/>
        </w:rPr>
        <w:t>认真落实学习制度，</w:t>
      </w:r>
      <w:r>
        <w:rPr>
          <w:rFonts w:hint="eastAsia" w:ascii="仿宋_GB2312" w:hAnsi="仿宋_GB2312" w:eastAsia="仿宋_GB2312" w:cs="仿宋_GB2312"/>
          <w:sz w:val="32"/>
          <w:szCs w:val="32"/>
        </w:rPr>
        <w:t>结合党史学习教育相关内容，认真组织领导班子成员、全体党员和干部职工通过多种形式学习习近平新时代中国特色社会主义思想、习近平总书记重要讲话重要指示批示精神、</w:t>
      </w:r>
      <w:r>
        <w:rPr>
          <w:rFonts w:hint="eastAsia" w:ascii="仿宋_GB2312" w:eastAsia="仿宋_GB2312"/>
          <w:sz w:val="32"/>
          <w:szCs w:val="32"/>
        </w:rPr>
        <w:t>党的二十大报告的核心要义，力促学习教育常态化；</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（2）在抓好班子，带好队伍的前提下，以“能干事、干成事”为导向，充分发挥党员在各项工作中的先锋模范作用，使我局的各项工作顺利推进；</w:t>
      </w:r>
    </w:p>
    <w:p>
      <w:pPr>
        <w:spacing w:line="360" w:lineRule="auto"/>
        <w:ind w:firstLine="640" w:firstLineChars="200"/>
        <w:rPr>
          <w:rFonts w:ascii="楷体" w:hAnsi="楷体" w:eastAsia="仿宋_GB2312" w:cs="楷体"/>
          <w:sz w:val="32"/>
          <w:szCs w:val="32"/>
        </w:rPr>
      </w:pPr>
      <w:r>
        <w:rPr>
          <w:rFonts w:hint="eastAsia" w:ascii="仿宋_GB2312" w:eastAsia="仿宋_GB2312"/>
          <w:sz w:val="32"/>
          <w:szCs w:val="32"/>
        </w:rPr>
        <w:t>（3）坚持以提高总揽全局能力、科学决策能力、求实创新能力为重点，切实加强领导班子能力建设。</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2、后勤保障经费</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项目实施主要内容：围绕县委、县政府的各项中心工作，提供有力的后勤服务保障。</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实施程序：</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（1）紧紧围绕县委、县政府的各项中心工作，抓住“改革、管理、保障、服务”的工作主线，坚持务实创新、扎实工作，较好地完成各项工作目标和任务；</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（2）加强对政府大院用水用电管理，更换节能产品、定期维护，及时维修，随时巡检；</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（3）通过物业公开招标，对县政府大院的物业实行购买服务，使物业的服务水平进一步提高，同时，以日常监督管理为主，结合抽查，确保机关大院安全；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（4）在县级重大活动和应急处置工作中，圆满完成车辆调度和后勤保障任务。</w:t>
      </w:r>
    </w:p>
    <w:p>
      <w:pPr>
        <w:spacing w:line="360" w:lineRule="auto"/>
        <w:ind w:firstLine="643" w:firstLineChars="200"/>
        <w:rPr>
          <w:rFonts w:ascii="仿宋_GB2312" w:eastAsia="仿宋_GB2312"/>
          <w:sz w:val="32"/>
          <w:szCs w:val="32"/>
        </w:rPr>
      </w:pPr>
      <w:r>
        <w:rPr>
          <w:rFonts w:hint="eastAsia" w:ascii="仿宋_GB2312" w:eastAsia="仿宋_GB2312"/>
          <w:b/>
          <w:bCs/>
          <w:sz w:val="32"/>
          <w:szCs w:val="32"/>
        </w:rPr>
        <w:t>3、业务经费</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项目实施主要内容：围绕县委、县政府的各项中心工作，提供有力的业务服务保障。</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实施程序：</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（1）完成政府大院内各项物业的修缮任务；</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（2）为政府大院内办公设备更新提供保障；</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（3）做好干部培训工作，积极响应县里组织的培训，使他们的思想素质和业务能力得到有效的提高；</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（4）在县级重大会议、活动、应急处置工作中，圆满完成车辆调度和保障任务等。</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lang w:val="en-US" w:eastAsia="zh-CN"/>
        </w:rPr>
        <w:t>4</w:t>
      </w:r>
      <w:r>
        <w:rPr>
          <w:rFonts w:hint="eastAsia" w:ascii="仿宋_GB2312" w:eastAsia="仿宋_GB2312"/>
          <w:b/>
          <w:bCs/>
          <w:sz w:val="32"/>
          <w:szCs w:val="32"/>
        </w:rPr>
        <w:t>、慰问经费</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项目实施主要内容：政府组织慰问重点企业招商引资、慰问生产一线等单位。</w:t>
      </w:r>
    </w:p>
    <w:p>
      <w:pPr>
        <w:spacing w:line="360" w:lineRule="auto"/>
        <w:ind w:firstLine="640" w:firstLineChars="200"/>
        <w:rPr>
          <w:rFonts w:ascii="楷体" w:hAnsi="楷体" w:eastAsia="楷体" w:cs="楷体"/>
          <w:sz w:val="32"/>
          <w:szCs w:val="32"/>
        </w:rPr>
      </w:pPr>
      <w:r>
        <w:rPr>
          <w:rFonts w:hint="eastAsia" w:ascii="仿宋_GB2312" w:eastAsia="仿宋_GB2312"/>
          <w:sz w:val="32"/>
          <w:szCs w:val="32"/>
        </w:rPr>
        <w:t>实施程序：配合县政府组织的慰问重点企业招商引资及慰问生产一线等单位工作，为其提供资金以及后勤保障。</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lang w:val="en-US" w:eastAsia="zh-CN"/>
        </w:rPr>
        <w:t>5</w:t>
      </w:r>
      <w:r>
        <w:rPr>
          <w:rFonts w:hint="eastAsia" w:ascii="仿宋_GB2312" w:eastAsia="仿宋_GB2312"/>
          <w:b/>
          <w:bCs/>
          <w:sz w:val="32"/>
          <w:szCs w:val="32"/>
        </w:rPr>
        <w:t>、会议费</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项目实施主要内容：承办县四套班子领导交办的有关会议和重要活动的后勤供应工作，包括会议期间按规定开支的住宿费、伙食费、会议场地租金、交通费、文件印刷费、会议饮用水费、横额制作费、茶叶费及其耗材费用等。</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实施程序：</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（1）1.认真做好会务管理工作，加强会议的后勤保障，及时维护各种设备，更换会议桌椅，安排专人负责会务工作，确保会议准时、顺利召开和结束；</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（2）强化审批管理制度，进一步明确各类会议的报批程序和审批制度；</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（3）严格会议费预算管理，将会议费纳入部门预算，单独列示；</w:t>
      </w:r>
    </w:p>
    <w:p>
      <w:pPr>
        <w:spacing w:line="360" w:lineRule="auto"/>
        <w:ind w:firstLine="640" w:firstLineChars="200"/>
        <w:rPr>
          <w:rFonts w:ascii="楷体" w:hAnsi="楷体" w:eastAsia="楷体" w:cs="楷体"/>
          <w:sz w:val="32"/>
          <w:szCs w:val="32"/>
        </w:rPr>
      </w:pPr>
      <w:r>
        <w:rPr>
          <w:rFonts w:hint="eastAsia" w:ascii="仿宋_GB2312" w:eastAsia="仿宋_GB2312"/>
          <w:sz w:val="32"/>
          <w:szCs w:val="32"/>
        </w:rPr>
        <w:t>（4）严格会议费报销和支付管理。报销时须附会议审批文件、会议通知及实际参会人员签到单、定点饭店提供的费用原始明细单据等，并规定会议费支付采用银行转账或公务卡方式结算，不得以现金方式支付。</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lang w:val="en-US" w:eastAsia="zh-CN"/>
        </w:rPr>
        <w:t>6</w:t>
      </w:r>
      <w:r>
        <w:rPr>
          <w:rFonts w:hint="eastAsia" w:ascii="仿宋_GB2312" w:eastAsia="仿宋_GB2312"/>
          <w:b/>
          <w:bCs/>
          <w:sz w:val="32"/>
          <w:szCs w:val="32"/>
        </w:rPr>
        <w:t>、专项工作经费</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项目实施主要内容：负责来乳源的党委、人大、政府、政协系统领导同志，来乳源的投资企业、知名人士以及来乳源公务的领导同志的接待工作；负责县四套班子赴外学习考察团活动的后勤服务保障工作；负责管辖内的会场管理服务工作，负责全县性大型会议和活动的后勤服务保障工作。</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实施程序：</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（1）用于全县按规定开支的各类公务接待费、会议费、委托业务费等；</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（2）严格遵守中央“八项规定”，坚决完成好县委、县政府下达的各项接待任务；</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（3）克服人员少、任务重的困难，在守好规矩的同时，服务质量和水平得到稳步提高。</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lang w:val="en-US" w:eastAsia="zh-CN"/>
        </w:rPr>
        <w:t>7</w:t>
      </w:r>
      <w:r>
        <w:rPr>
          <w:rFonts w:hint="eastAsia" w:ascii="仿宋_GB2312" w:eastAsia="仿宋_GB2312"/>
          <w:b/>
          <w:bCs/>
          <w:sz w:val="32"/>
          <w:szCs w:val="32"/>
        </w:rPr>
        <w:t>、维修工程</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项目实施主要内容：政府大院各单位办公楼、会场、家属区、交流楼维修（护）工程。</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实施程序：</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（1）对县政府大院办公楼、会场、家属区水、电等公共设施有计划地维修；</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（2）完成各项物业的修缮任务；</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（3）认真进行日常巡查，对存在的问题和隐患及时采取措施进行处理，对政府大院内的机关单位反映的问题，及时派维修人员前往解决；</w:t>
      </w:r>
    </w:p>
    <w:p>
      <w:pPr>
        <w:spacing w:line="360" w:lineRule="auto"/>
        <w:ind w:firstLine="640" w:firstLineChars="200"/>
        <w:rPr>
          <w:rFonts w:ascii="仿宋_GB2312" w:eastAsia="仿宋_GB2312"/>
          <w:b/>
          <w:bCs/>
          <w:sz w:val="32"/>
          <w:szCs w:val="32"/>
        </w:rPr>
      </w:pPr>
      <w:r>
        <w:rPr>
          <w:rFonts w:hint="eastAsia" w:ascii="仿宋_GB2312" w:eastAsia="仿宋_GB2312"/>
          <w:sz w:val="32"/>
          <w:szCs w:val="32"/>
        </w:rPr>
        <w:t>（4）加强设施维修力度，确保物业安全可靠。维修人员克服人员少、工作量大等困难，圆满完成各项维修，确保大院各办公室和政府家属区各项设施设备的正常使用。</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lang w:val="en-US" w:eastAsia="zh-CN"/>
        </w:rPr>
        <w:t>8</w:t>
      </w:r>
      <w:r>
        <w:rPr>
          <w:rFonts w:hint="eastAsia" w:ascii="仿宋_GB2312" w:eastAsia="仿宋_GB2312"/>
          <w:b/>
          <w:bCs/>
          <w:sz w:val="32"/>
          <w:szCs w:val="32"/>
        </w:rPr>
        <w:t>、疫情防控经费</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项目实施主要内容：为我县疫情防控工作提供有力的后勤服务保障。</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实施程序：</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（1）为疫情防控提供集中隔离观察点；</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（2）为我县疫情防控工作提供后勤保障服务，确保全县疫情防控工作顺利展开；</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（3）及时防止新冠肺炎疫情扩散，稳步提高传染病防控能力。</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lang w:val="en-US" w:eastAsia="zh-CN"/>
        </w:rPr>
        <w:t>9</w:t>
      </w:r>
      <w:r>
        <w:rPr>
          <w:rFonts w:hint="eastAsia" w:ascii="仿宋_GB2312" w:eastAsia="仿宋_GB2312"/>
          <w:b/>
          <w:bCs/>
          <w:sz w:val="32"/>
          <w:szCs w:val="32"/>
        </w:rPr>
        <w:t>、县群众信访诉求综合服务中心修缮工程和购置办公用品费</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项目实施主要内容：根据《关于印发〈韶关市县级群众信访诉求综合服务中心建设方案〉的通知》（韶信发〔2021〕4号）文件要求，我县作为全市的试点县，拟筹建县群众信访诉求综合服务中心。</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实施程序：</w:t>
      </w:r>
    </w:p>
    <w:p>
      <w:pPr>
        <w:numPr>
          <w:ilvl w:val="0"/>
          <w:numId w:val="4"/>
        </w:numPr>
        <w:spacing w:line="360" w:lineRule="auto"/>
        <w:ind w:firstLine="640" w:firstLineChars="200"/>
        <w:rPr>
          <w:rFonts w:ascii="仿宋_GB2312" w:eastAsia="仿宋_GB2312"/>
          <w:sz w:val="32"/>
          <w:szCs w:val="32"/>
        </w:rPr>
      </w:pPr>
      <w:r>
        <w:rPr>
          <w:rFonts w:hint="eastAsia" w:ascii="仿宋_GB2312" w:eastAsia="仿宋_GB2312"/>
          <w:sz w:val="32"/>
          <w:szCs w:val="32"/>
        </w:rPr>
        <w:t>对县信访局（群众信访诉求综合服务中心）进行修缮建设，优化办公环境；</w:t>
      </w:r>
    </w:p>
    <w:p>
      <w:pPr>
        <w:numPr>
          <w:ilvl w:val="0"/>
          <w:numId w:val="4"/>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完善办公设施配备，满足实际办公使用需求。</w:t>
      </w:r>
    </w:p>
    <w:p>
      <w:pPr>
        <w:spacing w:line="360" w:lineRule="auto"/>
        <w:ind w:firstLine="643" w:firstLineChars="200"/>
        <w:rPr>
          <w:rFonts w:ascii="仿宋_GB2312" w:eastAsia="仿宋_GB2312"/>
          <w:sz w:val="32"/>
          <w:szCs w:val="32"/>
        </w:rPr>
      </w:pPr>
      <w:r>
        <w:rPr>
          <w:rFonts w:hint="eastAsia" w:ascii="仿宋_GB2312" w:eastAsia="仿宋_GB2312"/>
          <w:b/>
          <w:bCs/>
          <w:sz w:val="32"/>
          <w:szCs w:val="32"/>
          <w:lang w:val="en-US" w:eastAsia="zh-CN"/>
        </w:rPr>
        <w:t>10</w:t>
      </w:r>
      <w:r>
        <w:rPr>
          <w:rFonts w:hint="eastAsia" w:ascii="仿宋_GB2312" w:eastAsia="仿宋_GB2312"/>
          <w:b/>
          <w:bCs/>
          <w:sz w:val="32"/>
          <w:szCs w:val="32"/>
        </w:rPr>
        <w:t>、0号高清会议系统使用年费</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项目实施主要内容：国家、省、市视频会议及市县视频会商的需求，将0号高清会议系统复用延伸至县（市、区）政府。</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实施程序：</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 xml:space="preserve">（1）根据我县0号高清视频会议业务合同，按年度支付接入端口费、专线费； </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 xml:space="preserve">（2）切实做好我县电视电话会议各项服务保障工作； </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（3）保障会议系统正常运转。</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（三）综述项目自评等级和分数，并对照佐证材料逐一分析</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我局高度重视财政支出项目绩效自评工作，由单位分管领导主持制定《项目支出绩效自评工作方案》，成立绩效自评工作领导小组，明确了领导小组各组成成员的职责及分工，形成相互制约、相互监督的工作机制，认真开展项目支出绩效自评工作。</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严格按照县有关文件要求，通过审查账目、实地考察验证、座谈交流等方式，认真对照财政专项资金绩效评价指标体系，对项目完成情况进行了全方位自查和自评打分。通过绩效自评，进一步规范财政资金规划管理，强化部门责任意识，提高财政资金使用效益。</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我单位申报的项目均从</w:t>
      </w:r>
      <w:r>
        <w:rPr>
          <w:rFonts w:ascii="仿宋_GB2312" w:eastAsia="仿宋_GB2312"/>
          <w:sz w:val="32"/>
          <w:szCs w:val="32"/>
        </w:rPr>
        <w:t>2022</w:t>
      </w:r>
      <w:r>
        <w:rPr>
          <w:rFonts w:hint="eastAsia" w:ascii="仿宋_GB2312" w:eastAsia="仿宋_GB2312"/>
          <w:sz w:val="32"/>
          <w:szCs w:val="32"/>
        </w:rPr>
        <w:t>年初计划实施，并于202</w:t>
      </w:r>
      <w:r>
        <w:rPr>
          <w:rFonts w:ascii="仿宋_GB2312" w:eastAsia="仿宋_GB2312"/>
          <w:sz w:val="32"/>
          <w:szCs w:val="32"/>
        </w:rPr>
        <w:t>2</w:t>
      </w:r>
      <w:r>
        <w:rPr>
          <w:rFonts w:hint="eastAsia" w:ascii="仿宋_GB2312" w:eastAsia="仿宋_GB2312"/>
          <w:sz w:val="32"/>
          <w:szCs w:val="32"/>
        </w:rPr>
        <w:t>年底前完成年度绩效目标，结合佐证材料分析，绩效自评综合等级为优，得分为</w:t>
      </w:r>
      <w:r>
        <w:rPr>
          <w:rFonts w:ascii="仿宋_GB2312" w:eastAsia="仿宋_GB2312"/>
          <w:sz w:val="32"/>
          <w:szCs w:val="32"/>
        </w:rPr>
        <w:t>99</w:t>
      </w: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（一）资金使用绩效。</w:t>
      </w:r>
    </w:p>
    <w:p>
      <w:pPr>
        <w:spacing w:line="360" w:lineRule="auto"/>
        <w:ind w:firstLine="643" w:firstLineChars="200"/>
        <w:rPr>
          <w:rFonts w:ascii="仿宋_GB2312" w:hAnsi="仿宋_GB2312" w:eastAsia="仿宋_GB2312"/>
          <w:b/>
          <w:bCs/>
          <w:sz w:val="32"/>
          <w:szCs w:val="32"/>
        </w:rPr>
      </w:pPr>
      <w:r>
        <w:rPr>
          <w:rFonts w:hint="eastAsia" w:ascii="仿宋_GB2312" w:hAnsi="仿宋_GB2312" w:eastAsia="仿宋_GB2312"/>
          <w:b/>
          <w:bCs/>
          <w:sz w:val="32"/>
          <w:szCs w:val="32"/>
        </w:rPr>
        <w:t>1、项目资金实际总投入情况</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年度项目资金安排总额共计</w:t>
      </w:r>
      <w:r>
        <w:rPr>
          <w:rFonts w:hint="eastAsia" w:ascii="仿宋_GB2312" w:hAnsi="仿宋_GB2312" w:eastAsia="仿宋_GB2312"/>
          <w:sz w:val="32"/>
          <w:szCs w:val="32"/>
          <w:lang w:val="en-US" w:eastAsia="zh-CN"/>
        </w:rPr>
        <w:t>782.53</w:t>
      </w:r>
      <w:r>
        <w:rPr>
          <w:rFonts w:hint="eastAsia" w:ascii="仿宋_GB2312" w:hAnsi="仿宋_GB2312" w:eastAsia="仿宋_GB2312"/>
          <w:sz w:val="32"/>
          <w:szCs w:val="32"/>
        </w:rPr>
        <w:t>万元。我局按照年初项目工作计划，控制项目成本，较好地完成了各项工作任务。</w:t>
      </w:r>
    </w:p>
    <w:p>
      <w:pPr>
        <w:numPr>
          <w:ilvl w:val="0"/>
          <w:numId w:val="2"/>
        </w:numPr>
        <w:spacing w:line="360" w:lineRule="auto"/>
        <w:ind w:firstLine="643" w:firstLineChars="200"/>
        <w:rPr>
          <w:rFonts w:ascii="仿宋_GB2312" w:hAnsi="仿宋_GB2312" w:eastAsia="仿宋_GB2312"/>
          <w:b/>
          <w:bCs/>
          <w:sz w:val="32"/>
          <w:szCs w:val="32"/>
        </w:rPr>
      </w:pPr>
      <w:r>
        <w:rPr>
          <w:rFonts w:hint="eastAsia" w:ascii="仿宋_GB2312" w:hAnsi="仿宋_GB2312" w:eastAsia="仿宋_GB2312"/>
          <w:b/>
          <w:bCs/>
          <w:sz w:val="32"/>
          <w:szCs w:val="32"/>
        </w:rPr>
        <w:t>项目资金实际支出情况，具体详细说明</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项目资金严格按照项目进度进行支付，支出共计</w:t>
      </w:r>
      <w:r>
        <w:rPr>
          <w:rFonts w:hint="eastAsia" w:ascii="仿宋_GB2312" w:hAnsi="仿宋_GB2312" w:eastAsia="仿宋_GB2312"/>
          <w:sz w:val="32"/>
          <w:szCs w:val="32"/>
          <w:lang w:val="en-US" w:eastAsia="zh-CN"/>
        </w:rPr>
        <w:t>560.02</w:t>
      </w:r>
      <w:r>
        <w:rPr>
          <w:rFonts w:hint="eastAsia" w:ascii="仿宋_GB2312" w:hAnsi="仿宋_GB2312" w:eastAsia="仿宋_GB2312"/>
          <w:sz w:val="32"/>
          <w:szCs w:val="32"/>
        </w:rPr>
        <w:t>万元，年末资金使用达到</w:t>
      </w:r>
      <w:r>
        <w:rPr>
          <w:rFonts w:hint="eastAsia" w:ascii="仿宋_GB2312" w:hAnsi="仿宋_GB2312" w:eastAsia="仿宋_GB2312"/>
          <w:sz w:val="32"/>
          <w:szCs w:val="32"/>
          <w:lang w:val="en-US" w:eastAsia="zh-CN"/>
        </w:rPr>
        <w:t>71.57</w:t>
      </w:r>
      <w:r>
        <w:rPr>
          <w:rFonts w:hint="eastAsia" w:ascii="仿宋_GB2312" w:hAnsi="仿宋_GB2312" w:eastAsia="仿宋_GB2312"/>
          <w:sz w:val="32"/>
          <w:szCs w:val="32"/>
        </w:rPr>
        <w:t>%，不存在重复支付。</w:t>
      </w:r>
    </w:p>
    <w:p>
      <w:pPr>
        <w:spacing w:line="240" w:lineRule="atLeast"/>
        <w:ind w:firstLine="480" w:firstLineChars="200"/>
        <w:jc w:val="center"/>
        <w:rPr>
          <w:rFonts w:ascii="楷体" w:hAnsi="楷体" w:eastAsia="楷体" w:cs="楷体"/>
          <w:sz w:val="24"/>
          <w:szCs w:val="24"/>
        </w:rPr>
      </w:pPr>
      <w:r>
        <w:rPr>
          <w:rFonts w:hint="eastAsia" w:ascii="楷体" w:hAnsi="楷体" w:eastAsia="楷体" w:cs="楷体"/>
          <w:sz w:val="24"/>
          <w:szCs w:val="24"/>
        </w:rPr>
        <w:t>202</w:t>
      </w:r>
      <w:r>
        <w:rPr>
          <w:rFonts w:hint="eastAsia" w:ascii="楷体" w:hAnsi="楷体" w:eastAsia="楷体" w:cs="楷体"/>
          <w:sz w:val="24"/>
          <w:szCs w:val="24"/>
          <w:lang w:val="en-US" w:eastAsia="zh-CN"/>
        </w:rPr>
        <w:t>2</w:t>
      </w:r>
      <w:r>
        <w:rPr>
          <w:rFonts w:hint="eastAsia" w:ascii="楷体" w:hAnsi="楷体" w:eastAsia="楷体" w:cs="楷体"/>
          <w:sz w:val="24"/>
          <w:szCs w:val="24"/>
        </w:rPr>
        <w:t>年项目支出进度表</w:t>
      </w:r>
    </w:p>
    <w:p>
      <w:pPr>
        <w:spacing w:line="240" w:lineRule="atLeast"/>
        <w:ind w:firstLine="480" w:firstLineChars="200"/>
        <w:jc w:val="right"/>
        <w:rPr>
          <w:rFonts w:ascii="楷体" w:hAnsi="楷体" w:eastAsia="楷体" w:cs="楷体"/>
          <w:sz w:val="24"/>
          <w:szCs w:val="24"/>
        </w:rPr>
      </w:pPr>
      <w:r>
        <w:rPr>
          <w:rFonts w:hint="eastAsia" w:ascii="楷体" w:hAnsi="楷体" w:eastAsia="楷体" w:cs="楷体"/>
          <w:sz w:val="24"/>
          <w:szCs w:val="24"/>
        </w:rPr>
        <w:t>单位：万元</w:t>
      </w:r>
    </w:p>
    <w:tbl>
      <w:tblPr>
        <w:tblStyle w:val="6"/>
        <w:tblW w:w="9099" w:type="dxa"/>
        <w:tblInd w:w="0" w:type="dxa"/>
        <w:tblLayout w:type="fixed"/>
        <w:tblCellMar>
          <w:top w:w="0" w:type="dxa"/>
          <w:left w:w="0" w:type="dxa"/>
          <w:bottom w:w="0" w:type="dxa"/>
          <w:right w:w="0" w:type="dxa"/>
        </w:tblCellMar>
      </w:tblPr>
      <w:tblGrid>
        <w:gridCol w:w="667"/>
        <w:gridCol w:w="4781"/>
        <w:gridCol w:w="1217"/>
        <w:gridCol w:w="1217"/>
        <w:gridCol w:w="1217"/>
      </w:tblGrid>
      <w:tr>
        <w:tblPrEx>
          <w:tblCellMar>
            <w:top w:w="0" w:type="dxa"/>
            <w:left w:w="0" w:type="dxa"/>
            <w:bottom w:w="0" w:type="dxa"/>
            <w:right w:w="0" w:type="dxa"/>
          </w:tblCellMar>
        </w:tblPrEx>
        <w:trPr>
          <w:trHeight w:val="410" w:hRule="atLeast"/>
        </w:trPr>
        <w:tc>
          <w:tcPr>
            <w:tcW w:w="66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b/>
                <w:color w:val="000000"/>
                <w:sz w:val="24"/>
                <w:szCs w:val="24"/>
              </w:rPr>
            </w:pPr>
            <w:r>
              <w:rPr>
                <w:rFonts w:hint="eastAsia" w:ascii="宋体" w:hAnsi="宋体" w:cs="宋体"/>
                <w:b/>
                <w:color w:val="000000"/>
                <w:kern w:val="0"/>
                <w:sz w:val="24"/>
                <w:szCs w:val="24"/>
                <w:lang w:bidi="ar"/>
              </w:rPr>
              <w:t>序号</w:t>
            </w:r>
          </w:p>
        </w:tc>
        <w:tc>
          <w:tcPr>
            <w:tcW w:w="478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b/>
                <w:color w:val="000000"/>
                <w:sz w:val="24"/>
                <w:szCs w:val="24"/>
              </w:rPr>
            </w:pPr>
            <w:r>
              <w:rPr>
                <w:rFonts w:hint="eastAsia" w:ascii="宋体" w:hAnsi="宋体" w:cs="宋体"/>
                <w:b/>
                <w:color w:val="000000"/>
                <w:kern w:val="0"/>
                <w:sz w:val="24"/>
                <w:szCs w:val="24"/>
                <w:lang w:bidi="ar"/>
              </w:rPr>
              <w:t>项目名称</w:t>
            </w:r>
          </w:p>
        </w:tc>
        <w:tc>
          <w:tcPr>
            <w:tcW w:w="121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b/>
                <w:color w:val="000000"/>
                <w:sz w:val="24"/>
                <w:szCs w:val="24"/>
              </w:rPr>
            </w:pPr>
            <w:r>
              <w:rPr>
                <w:rFonts w:hint="eastAsia" w:ascii="宋体" w:hAnsi="宋体" w:cs="宋体"/>
                <w:b/>
                <w:color w:val="000000"/>
                <w:kern w:val="0"/>
                <w:sz w:val="24"/>
                <w:szCs w:val="24"/>
                <w:lang w:bidi="ar"/>
              </w:rPr>
              <w:t>预算金额</w:t>
            </w:r>
          </w:p>
        </w:tc>
        <w:tc>
          <w:tcPr>
            <w:tcW w:w="121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b/>
                <w:color w:val="000000"/>
                <w:sz w:val="24"/>
                <w:szCs w:val="24"/>
              </w:rPr>
            </w:pPr>
            <w:r>
              <w:rPr>
                <w:rFonts w:hint="eastAsia" w:ascii="宋体" w:hAnsi="宋体" w:cs="宋体"/>
                <w:b/>
                <w:color w:val="000000"/>
                <w:kern w:val="0"/>
                <w:sz w:val="24"/>
                <w:szCs w:val="24"/>
                <w:lang w:bidi="ar"/>
              </w:rPr>
              <w:t>累计支出</w:t>
            </w:r>
          </w:p>
        </w:tc>
        <w:tc>
          <w:tcPr>
            <w:tcW w:w="121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b/>
                <w:color w:val="000000"/>
                <w:sz w:val="24"/>
                <w:szCs w:val="24"/>
              </w:rPr>
            </w:pPr>
            <w:r>
              <w:rPr>
                <w:rFonts w:hint="eastAsia" w:ascii="宋体" w:hAnsi="宋体" w:cs="宋体"/>
                <w:b/>
                <w:color w:val="000000"/>
                <w:kern w:val="0"/>
                <w:sz w:val="24"/>
                <w:szCs w:val="24"/>
                <w:lang w:bidi="ar"/>
              </w:rPr>
              <w:t>支出进度</w:t>
            </w:r>
          </w:p>
        </w:tc>
      </w:tr>
      <w:tr>
        <w:tblPrEx>
          <w:tblCellMar>
            <w:top w:w="0" w:type="dxa"/>
            <w:left w:w="0" w:type="dxa"/>
            <w:bottom w:w="0" w:type="dxa"/>
            <w:right w:w="0" w:type="dxa"/>
          </w:tblCellMar>
        </w:tblPrEx>
        <w:trPr>
          <w:trHeight w:val="368"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hint="eastAsia" w:ascii="宋体" w:hAnsi="宋体" w:cs="宋体"/>
                <w:color w:val="000000"/>
                <w:kern w:val="0"/>
                <w:sz w:val="20"/>
                <w:lang w:bidi="ar"/>
              </w:rPr>
              <w:t>1</w:t>
            </w:r>
          </w:p>
        </w:tc>
        <w:tc>
          <w:tcPr>
            <w:tcW w:w="4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0"/>
              </w:rPr>
            </w:pPr>
            <w:r>
              <w:rPr>
                <w:rFonts w:hint="eastAsia" w:ascii="宋体" w:hAnsi="宋体" w:cs="宋体"/>
                <w:color w:val="000000"/>
                <w:kern w:val="0"/>
                <w:sz w:val="20"/>
                <w:lang w:bidi="ar"/>
              </w:rPr>
              <w:t>党建活动经费</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hint="eastAsia" w:ascii="宋体" w:hAnsi="宋体" w:cs="宋体"/>
                <w:color w:val="000000"/>
                <w:kern w:val="0"/>
                <w:sz w:val="20"/>
                <w:lang w:bidi="ar"/>
              </w:rPr>
              <w:t xml:space="preserve">1.00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color w:val="000000"/>
                <w:sz w:val="20"/>
                <w:lang w:val="en-US" w:eastAsia="zh-CN"/>
              </w:rPr>
            </w:pPr>
            <w:r>
              <w:rPr>
                <w:rFonts w:hint="eastAsia" w:ascii="宋体" w:hAnsi="宋体" w:cs="宋体"/>
                <w:color w:val="000000"/>
                <w:kern w:val="0"/>
                <w:sz w:val="20"/>
                <w:lang w:bidi="ar"/>
              </w:rPr>
              <w:t>0.</w:t>
            </w:r>
            <w:r>
              <w:rPr>
                <w:rFonts w:ascii="宋体" w:hAnsi="宋体" w:cs="宋体"/>
                <w:color w:val="000000"/>
                <w:kern w:val="0"/>
                <w:sz w:val="20"/>
                <w:lang w:bidi="ar"/>
              </w:rPr>
              <w:t>1</w:t>
            </w:r>
            <w:r>
              <w:rPr>
                <w:rFonts w:hint="eastAsia" w:ascii="宋体" w:hAnsi="宋体" w:cs="宋体"/>
                <w:color w:val="000000"/>
                <w:kern w:val="0"/>
                <w:sz w:val="20"/>
                <w:lang w:val="en-US" w:eastAsia="zh-CN" w:bidi="ar"/>
              </w:rPr>
              <w:t>0</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ascii="宋体" w:hAnsi="宋体" w:cs="宋体"/>
                <w:color w:val="000000"/>
                <w:kern w:val="0"/>
                <w:sz w:val="20"/>
                <w:lang w:bidi="ar"/>
              </w:rPr>
              <w:t>10</w:t>
            </w:r>
            <w:r>
              <w:rPr>
                <w:rFonts w:hint="eastAsia" w:ascii="宋体" w:hAnsi="宋体" w:cs="宋体"/>
                <w:color w:val="000000"/>
                <w:kern w:val="0"/>
                <w:sz w:val="20"/>
                <w:lang w:bidi="ar"/>
              </w:rPr>
              <w:t>%</w:t>
            </w:r>
          </w:p>
        </w:tc>
      </w:tr>
      <w:tr>
        <w:tblPrEx>
          <w:tblCellMar>
            <w:top w:w="0" w:type="dxa"/>
            <w:left w:w="0" w:type="dxa"/>
            <w:bottom w:w="0" w:type="dxa"/>
            <w:right w:w="0" w:type="dxa"/>
          </w:tblCellMar>
        </w:tblPrEx>
        <w:trPr>
          <w:trHeight w:val="368"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ascii="宋体" w:hAnsi="宋体" w:cs="宋体"/>
                <w:color w:val="000000"/>
                <w:kern w:val="0"/>
                <w:sz w:val="20"/>
                <w:lang w:bidi="ar"/>
              </w:rPr>
              <w:t>2</w:t>
            </w:r>
          </w:p>
        </w:tc>
        <w:tc>
          <w:tcPr>
            <w:tcW w:w="4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0"/>
              </w:rPr>
            </w:pPr>
            <w:r>
              <w:rPr>
                <w:rFonts w:hint="eastAsia" w:ascii="宋体" w:hAnsi="宋体" w:cs="宋体"/>
                <w:color w:val="000000"/>
                <w:sz w:val="20"/>
              </w:rPr>
              <w:t>后勤保障经费</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ascii="宋体" w:hAnsi="宋体" w:cs="宋体"/>
                <w:color w:val="000000"/>
                <w:kern w:val="0"/>
                <w:sz w:val="20"/>
                <w:lang w:bidi="ar"/>
              </w:rPr>
              <w:t>406</w:t>
            </w:r>
            <w:r>
              <w:rPr>
                <w:rFonts w:hint="eastAsia" w:ascii="宋体" w:hAnsi="宋体" w:cs="宋体"/>
                <w:color w:val="000000"/>
                <w:kern w:val="0"/>
                <w:sz w:val="20"/>
                <w:lang w:bidi="ar"/>
              </w:rPr>
              <w:t>.</w:t>
            </w:r>
            <w:r>
              <w:rPr>
                <w:rFonts w:ascii="宋体" w:hAnsi="宋体" w:cs="宋体"/>
                <w:color w:val="000000"/>
                <w:kern w:val="0"/>
                <w:sz w:val="20"/>
                <w:lang w:bidi="ar"/>
              </w:rPr>
              <w:t>42</w:t>
            </w:r>
            <w:r>
              <w:rPr>
                <w:rFonts w:hint="eastAsia" w:ascii="宋体" w:hAnsi="宋体" w:cs="宋体"/>
                <w:color w:val="000000"/>
                <w:kern w:val="0"/>
                <w:sz w:val="20"/>
                <w:lang w:bidi="ar"/>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ascii="宋体" w:hAnsi="宋体" w:cs="宋体"/>
                <w:color w:val="000000"/>
                <w:kern w:val="0"/>
                <w:sz w:val="20"/>
                <w:lang w:bidi="ar"/>
              </w:rPr>
              <w:t>318</w:t>
            </w:r>
            <w:r>
              <w:rPr>
                <w:rFonts w:hint="eastAsia" w:ascii="宋体" w:hAnsi="宋体" w:cs="宋体"/>
                <w:color w:val="000000"/>
                <w:kern w:val="0"/>
                <w:sz w:val="20"/>
                <w:lang w:bidi="ar"/>
              </w:rPr>
              <w:t>.</w:t>
            </w:r>
            <w:r>
              <w:rPr>
                <w:rFonts w:ascii="宋体" w:hAnsi="宋体" w:cs="宋体"/>
                <w:color w:val="000000"/>
                <w:kern w:val="0"/>
                <w:sz w:val="20"/>
                <w:lang w:bidi="ar"/>
              </w:rPr>
              <w:t>45</w:t>
            </w:r>
            <w:r>
              <w:rPr>
                <w:rFonts w:hint="eastAsia" w:ascii="宋体" w:hAnsi="宋体" w:cs="宋体"/>
                <w:color w:val="000000"/>
                <w:kern w:val="0"/>
                <w:sz w:val="20"/>
                <w:lang w:bidi="ar"/>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ascii="宋体" w:hAnsi="宋体" w:cs="宋体"/>
                <w:color w:val="000000"/>
                <w:kern w:val="0"/>
                <w:sz w:val="20"/>
                <w:lang w:bidi="ar"/>
              </w:rPr>
              <w:t>78</w:t>
            </w:r>
            <w:r>
              <w:rPr>
                <w:rFonts w:hint="eastAsia" w:ascii="宋体" w:hAnsi="宋体" w:cs="宋体"/>
                <w:color w:val="000000"/>
                <w:kern w:val="0"/>
                <w:sz w:val="20"/>
                <w:lang w:bidi="ar"/>
              </w:rPr>
              <w:t>.</w:t>
            </w:r>
            <w:r>
              <w:rPr>
                <w:rFonts w:ascii="宋体" w:hAnsi="宋体" w:cs="宋体"/>
                <w:color w:val="000000"/>
                <w:kern w:val="0"/>
                <w:sz w:val="20"/>
                <w:lang w:bidi="ar"/>
              </w:rPr>
              <w:t>35</w:t>
            </w:r>
            <w:r>
              <w:rPr>
                <w:rFonts w:hint="eastAsia" w:ascii="宋体" w:hAnsi="宋体" w:cs="宋体"/>
                <w:color w:val="000000"/>
                <w:kern w:val="0"/>
                <w:sz w:val="20"/>
                <w:lang w:bidi="ar"/>
              </w:rPr>
              <w:t>%</w:t>
            </w:r>
          </w:p>
        </w:tc>
      </w:tr>
      <w:tr>
        <w:tblPrEx>
          <w:tblCellMar>
            <w:top w:w="0" w:type="dxa"/>
            <w:left w:w="0" w:type="dxa"/>
            <w:bottom w:w="0" w:type="dxa"/>
            <w:right w:w="0" w:type="dxa"/>
          </w:tblCellMar>
        </w:tblPrEx>
        <w:trPr>
          <w:trHeight w:val="379"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ascii="宋体" w:hAnsi="宋体" w:cs="宋体"/>
                <w:color w:val="000000"/>
                <w:kern w:val="0"/>
                <w:sz w:val="20"/>
                <w:lang w:bidi="ar"/>
              </w:rPr>
              <w:t>3</w:t>
            </w:r>
          </w:p>
        </w:tc>
        <w:tc>
          <w:tcPr>
            <w:tcW w:w="4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0"/>
              </w:rPr>
            </w:pPr>
            <w:r>
              <w:rPr>
                <w:rFonts w:hint="eastAsia" w:ascii="宋体" w:hAnsi="宋体" w:cs="宋体"/>
                <w:color w:val="000000"/>
                <w:sz w:val="20"/>
              </w:rPr>
              <w:t>业务经费</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ascii="宋体" w:hAnsi="宋体" w:cs="宋体"/>
                <w:color w:val="000000"/>
                <w:kern w:val="0"/>
                <w:sz w:val="20"/>
                <w:lang w:bidi="ar"/>
              </w:rPr>
              <w:t>131</w:t>
            </w:r>
            <w:r>
              <w:rPr>
                <w:rFonts w:hint="eastAsia" w:ascii="宋体" w:hAnsi="宋体" w:cs="宋体"/>
                <w:color w:val="000000"/>
                <w:kern w:val="0"/>
                <w:sz w:val="20"/>
                <w:lang w:bidi="ar"/>
              </w:rPr>
              <w:t>.</w:t>
            </w:r>
            <w:r>
              <w:rPr>
                <w:rFonts w:ascii="宋体" w:hAnsi="宋体" w:cs="宋体"/>
                <w:color w:val="000000"/>
                <w:kern w:val="0"/>
                <w:sz w:val="20"/>
                <w:lang w:bidi="ar"/>
              </w:rPr>
              <w:t>00</w:t>
            </w:r>
            <w:r>
              <w:rPr>
                <w:rFonts w:hint="eastAsia" w:ascii="宋体" w:hAnsi="宋体" w:cs="宋体"/>
                <w:color w:val="000000"/>
                <w:kern w:val="0"/>
                <w:sz w:val="20"/>
                <w:lang w:bidi="ar"/>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ascii="宋体" w:hAnsi="宋体" w:cs="宋体"/>
                <w:color w:val="000000"/>
                <w:kern w:val="0"/>
                <w:sz w:val="20"/>
                <w:lang w:bidi="ar"/>
              </w:rPr>
              <w:t>61</w:t>
            </w:r>
            <w:r>
              <w:rPr>
                <w:rFonts w:hint="eastAsia" w:ascii="宋体" w:hAnsi="宋体" w:cs="宋体"/>
                <w:color w:val="000000"/>
                <w:kern w:val="0"/>
                <w:sz w:val="20"/>
                <w:lang w:bidi="ar"/>
              </w:rPr>
              <w:t>.</w:t>
            </w:r>
            <w:r>
              <w:rPr>
                <w:rFonts w:ascii="宋体" w:hAnsi="宋体" w:cs="宋体"/>
                <w:color w:val="000000"/>
                <w:kern w:val="0"/>
                <w:sz w:val="20"/>
                <w:lang w:bidi="ar"/>
              </w:rPr>
              <w:t>67</w:t>
            </w:r>
            <w:r>
              <w:rPr>
                <w:rFonts w:hint="eastAsia" w:ascii="宋体" w:hAnsi="宋体" w:cs="宋体"/>
                <w:color w:val="000000"/>
                <w:kern w:val="0"/>
                <w:sz w:val="20"/>
                <w:lang w:bidi="ar"/>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ascii="宋体" w:hAnsi="宋体" w:cs="宋体"/>
                <w:color w:val="000000"/>
                <w:kern w:val="0"/>
                <w:sz w:val="20"/>
                <w:lang w:bidi="ar"/>
              </w:rPr>
              <w:t>47</w:t>
            </w:r>
            <w:r>
              <w:rPr>
                <w:rFonts w:hint="eastAsia" w:ascii="宋体" w:hAnsi="宋体" w:cs="宋体"/>
                <w:color w:val="000000"/>
                <w:kern w:val="0"/>
                <w:sz w:val="20"/>
                <w:lang w:bidi="ar"/>
              </w:rPr>
              <w:t>.</w:t>
            </w:r>
            <w:r>
              <w:rPr>
                <w:rFonts w:ascii="宋体" w:hAnsi="宋体" w:cs="宋体"/>
                <w:color w:val="000000"/>
                <w:kern w:val="0"/>
                <w:sz w:val="20"/>
                <w:lang w:bidi="ar"/>
              </w:rPr>
              <w:t>08</w:t>
            </w:r>
            <w:r>
              <w:rPr>
                <w:rFonts w:hint="eastAsia" w:ascii="宋体" w:hAnsi="宋体" w:cs="宋体"/>
                <w:color w:val="000000"/>
                <w:kern w:val="0"/>
                <w:sz w:val="20"/>
                <w:lang w:bidi="ar"/>
              </w:rPr>
              <w:t>%</w:t>
            </w:r>
          </w:p>
        </w:tc>
      </w:tr>
      <w:tr>
        <w:tblPrEx>
          <w:tblCellMar>
            <w:top w:w="0" w:type="dxa"/>
            <w:left w:w="0" w:type="dxa"/>
            <w:bottom w:w="0" w:type="dxa"/>
            <w:right w:w="0" w:type="dxa"/>
          </w:tblCellMar>
        </w:tblPrEx>
        <w:trPr>
          <w:trHeight w:val="379"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 w:val="20"/>
                <w:lang w:bidi="ar"/>
              </w:rPr>
            </w:pPr>
            <w:r>
              <w:rPr>
                <w:rFonts w:hint="eastAsia" w:ascii="宋体" w:hAnsi="宋体" w:cs="宋体"/>
                <w:color w:val="000000"/>
                <w:kern w:val="0"/>
                <w:sz w:val="20"/>
                <w:lang w:bidi="ar"/>
              </w:rPr>
              <w:t>4</w:t>
            </w:r>
          </w:p>
        </w:tc>
        <w:tc>
          <w:tcPr>
            <w:tcW w:w="4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rPr>
            </w:pPr>
            <w:r>
              <w:rPr>
                <w:rFonts w:hint="eastAsia" w:ascii="宋体" w:hAnsi="宋体" w:cs="宋体"/>
                <w:color w:val="000000"/>
                <w:kern w:val="0"/>
                <w:sz w:val="20"/>
                <w:lang w:bidi="ar"/>
              </w:rPr>
              <w:t>慰问经费</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color w:val="000000"/>
                <w:kern w:val="0"/>
                <w:sz w:val="20"/>
                <w:lang w:val="en-US" w:eastAsia="zh-CN" w:bidi="ar"/>
              </w:rPr>
            </w:pPr>
            <w:r>
              <w:rPr>
                <w:rFonts w:hint="eastAsia" w:ascii="宋体" w:hAnsi="宋体" w:cs="宋体"/>
                <w:color w:val="000000"/>
                <w:kern w:val="0"/>
                <w:sz w:val="20"/>
                <w:lang w:val="en-US" w:eastAsia="zh-CN" w:bidi="ar"/>
              </w:rPr>
              <w:t>9.00</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color w:val="000000"/>
                <w:kern w:val="0"/>
                <w:sz w:val="20"/>
                <w:lang w:val="en-US" w:eastAsia="zh-CN" w:bidi="ar"/>
              </w:rPr>
            </w:pPr>
            <w:r>
              <w:rPr>
                <w:rFonts w:hint="eastAsia" w:ascii="宋体" w:hAnsi="宋体" w:cs="宋体"/>
                <w:color w:val="000000"/>
                <w:kern w:val="0"/>
                <w:sz w:val="20"/>
                <w:lang w:val="en-US" w:eastAsia="zh-CN" w:bidi="ar"/>
              </w:rPr>
              <w:t>4</w:t>
            </w:r>
            <w:r>
              <w:rPr>
                <w:rFonts w:hint="eastAsia" w:ascii="宋体" w:hAnsi="宋体" w:cs="宋体"/>
                <w:color w:val="000000"/>
                <w:kern w:val="0"/>
                <w:sz w:val="20"/>
                <w:lang w:bidi="ar"/>
              </w:rPr>
              <w:t>.</w:t>
            </w:r>
            <w:r>
              <w:rPr>
                <w:rFonts w:hint="eastAsia" w:ascii="宋体" w:hAnsi="宋体" w:cs="宋体"/>
                <w:color w:val="000000"/>
                <w:kern w:val="0"/>
                <w:sz w:val="20"/>
                <w:lang w:val="en-US" w:eastAsia="zh-CN" w:bidi="ar"/>
              </w:rPr>
              <w:t>03</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color w:val="000000"/>
                <w:kern w:val="0"/>
                <w:sz w:val="20"/>
                <w:lang w:val="en-US" w:eastAsia="zh-CN" w:bidi="ar"/>
              </w:rPr>
            </w:pPr>
            <w:r>
              <w:rPr>
                <w:rFonts w:hint="eastAsia" w:ascii="宋体" w:hAnsi="宋体" w:cs="宋体"/>
                <w:color w:val="000000"/>
                <w:kern w:val="0"/>
                <w:sz w:val="20"/>
                <w:lang w:val="en-US" w:eastAsia="zh-CN" w:bidi="ar"/>
              </w:rPr>
              <w:t>44.78</w:t>
            </w:r>
            <w:r>
              <w:rPr>
                <w:rFonts w:hint="eastAsia" w:ascii="宋体" w:hAnsi="宋体" w:cs="宋体"/>
                <w:color w:val="000000"/>
                <w:kern w:val="0"/>
                <w:sz w:val="20"/>
                <w:lang w:bidi="ar"/>
              </w:rPr>
              <w:t>%</w:t>
            </w:r>
          </w:p>
        </w:tc>
      </w:tr>
      <w:tr>
        <w:tblPrEx>
          <w:tblCellMar>
            <w:top w:w="0" w:type="dxa"/>
            <w:left w:w="0" w:type="dxa"/>
            <w:bottom w:w="0" w:type="dxa"/>
            <w:right w:w="0" w:type="dxa"/>
          </w:tblCellMar>
        </w:tblPrEx>
        <w:trPr>
          <w:trHeight w:val="379"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 w:val="20"/>
                <w:lang w:bidi="ar"/>
              </w:rPr>
            </w:pPr>
            <w:r>
              <w:rPr>
                <w:rFonts w:hint="eastAsia" w:ascii="宋体" w:hAnsi="宋体" w:cs="宋体"/>
                <w:color w:val="000000"/>
                <w:kern w:val="0"/>
                <w:sz w:val="20"/>
                <w:lang w:bidi="ar"/>
              </w:rPr>
              <w:t>5</w:t>
            </w:r>
          </w:p>
        </w:tc>
        <w:tc>
          <w:tcPr>
            <w:tcW w:w="4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rPr>
            </w:pPr>
            <w:r>
              <w:rPr>
                <w:rFonts w:hint="eastAsia" w:ascii="宋体" w:hAnsi="宋体" w:cs="宋体"/>
                <w:color w:val="000000"/>
                <w:kern w:val="0"/>
                <w:sz w:val="20"/>
                <w:lang w:bidi="ar"/>
              </w:rPr>
              <w:t>会议费</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color w:val="000000"/>
                <w:kern w:val="0"/>
                <w:sz w:val="20"/>
                <w:lang w:val="en-US" w:eastAsia="zh-CN" w:bidi="ar"/>
              </w:rPr>
            </w:pPr>
            <w:r>
              <w:rPr>
                <w:rFonts w:hint="eastAsia" w:ascii="宋体" w:hAnsi="宋体" w:cs="宋体"/>
                <w:color w:val="000000"/>
                <w:kern w:val="0"/>
                <w:sz w:val="20"/>
                <w:lang w:val="en-US" w:eastAsia="zh-CN" w:bidi="ar"/>
              </w:rPr>
              <w:t>8.00</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color w:val="000000"/>
                <w:kern w:val="0"/>
                <w:sz w:val="20"/>
                <w:lang w:val="en-US" w:eastAsia="zh-CN" w:bidi="ar"/>
              </w:rPr>
            </w:pPr>
            <w:r>
              <w:rPr>
                <w:rFonts w:hint="eastAsia" w:ascii="宋体" w:hAnsi="宋体" w:cs="宋体"/>
                <w:color w:val="000000"/>
                <w:kern w:val="0"/>
                <w:sz w:val="20"/>
                <w:lang w:val="en-US" w:eastAsia="zh-CN" w:bidi="ar"/>
              </w:rPr>
              <w:t>2.31</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 w:val="20"/>
                <w:lang w:bidi="ar"/>
              </w:rPr>
            </w:pPr>
            <w:r>
              <w:rPr>
                <w:rFonts w:hint="eastAsia" w:ascii="宋体" w:hAnsi="宋体" w:cs="宋体"/>
                <w:color w:val="000000"/>
                <w:kern w:val="0"/>
                <w:sz w:val="20"/>
                <w:lang w:val="en-US" w:eastAsia="zh-CN" w:bidi="ar"/>
              </w:rPr>
              <w:t>28.89%</w:t>
            </w:r>
          </w:p>
        </w:tc>
      </w:tr>
      <w:tr>
        <w:tblPrEx>
          <w:tblCellMar>
            <w:top w:w="0" w:type="dxa"/>
            <w:left w:w="0" w:type="dxa"/>
            <w:bottom w:w="0" w:type="dxa"/>
            <w:right w:w="0" w:type="dxa"/>
          </w:tblCellMar>
        </w:tblPrEx>
        <w:trPr>
          <w:trHeight w:val="368"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ascii="宋体" w:hAnsi="宋体" w:cs="宋体"/>
                <w:color w:val="000000"/>
                <w:kern w:val="0"/>
                <w:sz w:val="20"/>
                <w:lang w:bidi="ar"/>
              </w:rPr>
              <w:t>6</w:t>
            </w:r>
          </w:p>
        </w:tc>
        <w:tc>
          <w:tcPr>
            <w:tcW w:w="4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0"/>
              </w:rPr>
            </w:pPr>
            <w:r>
              <w:rPr>
                <w:rFonts w:hint="eastAsia" w:ascii="宋体" w:hAnsi="宋体" w:cs="宋体"/>
                <w:color w:val="000000"/>
                <w:kern w:val="0"/>
                <w:sz w:val="20"/>
                <w:lang w:bidi="ar"/>
              </w:rPr>
              <w:t>专项工作经费</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hint="eastAsia" w:ascii="宋体" w:hAnsi="宋体" w:cs="宋体"/>
                <w:color w:val="000000"/>
                <w:kern w:val="0"/>
                <w:sz w:val="20"/>
                <w:lang w:bidi="ar"/>
              </w:rPr>
              <w:t>1</w:t>
            </w:r>
            <w:r>
              <w:rPr>
                <w:rFonts w:hint="eastAsia" w:ascii="宋体" w:hAnsi="宋体" w:cs="宋体"/>
                <w:color w:val="000000"/>
                <w:kern w:val="0"/>
                <w:sz w:val="20"/>
                <w:lang w:val="en-US" w:eastAsia="zh-CN" w:bidi="ar"/>
              </w:rPr>
              <w:t>0</w:t>
            </w:r>
            <w:r>
              <w:rPr>
                <w:rFonts w:hint="eastAsia" w:ascii="宋体" w:hAnsi="宋体" w:cs="宋体"/>
                <w:color w:val="000000"/>
                <w:kern w:val="0"/>
                <w:sz w:val="20"/>
                <w:lang w:bidi="ar"/>
              </w:rPr>
              <w:t>7.</w:t>
            </w:r>
            <w:r>
              <w:rPr>
                <w:rFonts w:hint="eastAsia" w:ascii="宋体" w:hAnsi="宋体" w:cs="宋体"/>
                <w:color w:val="000000"/>
                <w:kern w:val="0"/>
                <w:sz w:val="20"/>
                <w:lang w:val="en-US" w:eastAsia="zh-CN" w:bidi="ar"/>
              </w:rPr>
              <w:t>29</w:t>
            </w:r>
            <w:r>
              <w:rPr>
                <w:rFonts w:hint="eastAsia" w:ascii="宋体" w:hAnsi="宋体" w:cs="宋体"/>
                <w:color w:val="000000"/>
                <w:kern w:val="0"/>
                <w:sz w:val="20"/>
                <w:lang w:bidi="ar"/>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hint="eastAsia" w:ascii="宋体" w:hAnsi="宋体" w:cs="宋体"/>
                <w:color w:val="000000"/>
                <w:sz w:val="20"/>
                <w:lang w:val="en-US" w:eastAsia="zh-CN"/>
              </w:rPr>
              <w:t>55.95</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hint="eastAsia" w:ascii="宋体" w:hAnsi="宋体" w:cs="宋体"/>
                <w:color w:val="000000"/>
                <w:kern w:val="0"/>
                <w:sz w:val="20"/>
                <w:lang w:val="en-US" w:eastAsia="zh-CN" w:bidi="ar"/>
              </w:rPr>
              <w:t>52.15</w:t>
            </w:r>
            <w:r>
              <w:rPr>
                <w:rFonts w:hint="eastAsia" w:ascii="宋体" w:hAnsi="宋体" w:cs="宋体"/>
                <w:color w:val="000000"/>
                <w:kern w:val="0"/>
                <w:sz w:val="20"/>
                <w:lang w:bidi="ar"/>
              </w:rPr>
              <w:t>%</w:t>
            </w:r>
          </w:p>
        </w:tc>
      </w:tr>
      <w:tr>
        <w:tblPrEx>
          <w:tblCellMar>
            <w:top w:w="0" w:type="dxa"/>
            <w:left w:w="0" w:type="dxa"/>
            <w:bottom w:w="0" w:type="dxa"/>
            <w:right w:w="0" w:type="dxa"/>
          </w:tblCellMar>
        </w:tblPrEx>
        <w:trPr>
          <w:trHeight w:val="368"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ascii="宋体" w:hAnsi="宋体" w:cs="宋体"/>
                <w:color w:val="000000"/>
                <w:kern w:val="0"/>
                <w:sz w:val="20"/>
                <w:lang w:bidi="ar"/>
              </w:rPr>
              <w:t>7</w:t>
            </w:r>
          </w:p>
        </w:tc>
        <w:tc>
          <w:tcPr>
            <w:tcW w:w="4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0"/>
              </w:rPr>
            </w:pPr>
            <w:r>
              <w:rPr>
                <w:rFonts w:hint="eastAsia" w:ascii="宋体" w:hAnsi="宋体" w:cs="宋体"/>
                <w:color w:val="000000"/>
                <w:kern w:val="0"/>
                <w:sz w:val="20"/>
                <w:lang w:bidi="ar"/>
              </w:rPr>
              <w:t>维修工程</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hint="eastAsia" w:ascii="宋体" w:hAnsi="宋体" w:cs="宋体"/>
                <w:color w:val="000000"/>
                <w:kern w:val="0"/>
                <w:sz w:val="20"/>
                <w:lang w:val="en-US" w:eastAsia="zh-CN" w:bidi="ar"/>
              </w:rPr>
              <w:t>60</w:t>
            </w:r>
            <w:r>
              <w:rPr>
                <w:rFonts w:hint="eastAsia" w:ascii="宋体" w:hAnsi="宋体" w:cs="宋体"/>
                <w:color w:val="000000"/>
                <w:kern w:val="0"/>
                <w:sz w:val="20"/>
                <w:lang w:bidi="ar"/>
              </w:rPr>
              <w:t xml:space="preserve">.00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color w:val="000000"/>
                <w:sz w:val="20"/>
                <w:lang w:val="en-US" w:eastAsia="zh-CN"/>
              </w:rPr>
            </w:pPr>
            <w:r>
              <w:rPr>
                <w:rFonts w:hint="eastAsia" w:ascii="宋体" w:hAnsi="宋体" w:cs="宋体"/>
                <w:color w:val="000000"/>
                <w:kern w:val="0"/>
                <w:sz w:val="20"/>
                <w:lang w:bidi="ar"/>
              </w:rPr>
              <w:t>5</w:t>
            </w:r>
            <w:r>
              <w:rPr>
                <w:rFonts w:hint="eastAsia" w:ascii="宋体" w:hAnsi="宋体" w:cs="宋体"/>
                <w:color w:val="000000"/>
                <w:kern w:val="0"/>
                <w:sz w:val="20"/>
                <w:lang w:val="en-US" w:eastAsia="zh-CN" w:bidi="ar"/>
              </w:rPr>
              <w:t>7</w:t>
            </w:r>
            <w:r>
              <w:rPr>
                <w:rFonts w:hint="eastAsia" w:ascii="宋体" w:hAnsi="宋体" w:cs="宋体"/>
                <w:color w:val="000000"/>
                <w:kern w:val="0"/>
                <w:sz w:val="20"/>
                <w:lang w:bidi="ar"/>
              </w:rPr>
              <w:t>.7</w:t>
            </w:r>
            <w:r>
              <w:rPr>
                <w:rFonts w:hint="eastAsia" w:ascii="宋体" w:hAnsi="宋体" w:cs="宋体"/>
                <w:color w:val="000000"/>
                <w:kern w:val="0"/>
                <w:sz w:val="20"/>
                <w:lang w:val="en-US" w:eastAsia="zh-CN" w:bidi="ar"/>
              </w:rPr>
              <w:t>0</w:t>
            </w:r>
            <w:r>
              <w:rPr>
                <w:rFonts w:hint="eastAsia" w:ascii="宋体" w:hAnsi="宋体" w:cs="宋体"/>
                <w:color w:val="000000"/>
                <w:kern w:val="0"/>
                <w:sz w:val="20"/>
                <w:lang w:bidi="ar"/>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hint="eastAsia" w:ascii="宋体" w:hAnsi="宋体" w:cs="宋体"/>
                <w:color w:val="000000"/>
                <w:kern w:val="0"/>
                <w:sz w:val="20"/>
                <w:lang w:val="en-US" w:eastAsia="zh-CN" w:bidi="ar"/>
              </w:rPr>
              <w:t>96.16</w:t>
            </w:r>
            <w:r>
              <w:rPr>
                <w:rFonts w:hint="eastAsia" w:ascii="宋体" w:hAnsi="宋体" w:cs="宋体"/>
                <w:color w:val="000000"/>
                <w:kern w:val="0"/>
                <w:sz w:val="20"/>
                <w:lang w:bidi="ar"/>
              </w:rPr>
              <w:t>%</w:t>
            </w:r>
          </w:p>
        </w:tc>
      </w:tr>
      <w:tr>
        <w:tblPrEx>
          <w:tblCellMar>
            <w:top w:w="0" w:type="dxa"/>
            <w:left w:w="0" w:type="dxa"/>
            <w:bottom w:w="0" w:type="dxa"/>
            <w:right w:w="0" w:type="dxa"/>
          </w:tblCellMar>
        </w:tblPrEx>
        <w:trPr>
          <w:trHeight w:val="368"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 w:val="20"/>
                <w:lang w:bidi="ar"/>
              </w:rPr>
            </w:pPr>
            <w:r>
              <w:rPr>
                <w:rFonts w:hint="eastAsia" w:ascii="宋体" w:hAnsi="宋体" w:cs="宋体"/>
                <w:color w:val="000000"/>
                <w:kern w:val="0"/>
                <w:sz w:val="20"/>
                <w:lang w:bidi="ar"/>
              </w:rPr>
              <w:t>8</w:t>
            </w:r>
          </w:p>
        </w:tc>
        <w:tc>
          <w:tcPr>
            <w:tcW w:w="4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 w:val="20"/>
                <w:lang w:bidi="ar"/>
              </w:rPr>
            </w:pPr>
            <w:r>
              <w:rPr>
                <w:rFonts w:hint="eastAsia" w:ascii="宋体" w:hAnsi="宋体" w:cs="宋体"/>
                <w:color w:val="000000"/>
                <w:sz w:val="20"/>
              </w:rPr>
              <w:t>疫情防控经费</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color w:val="000000"/>
                <w:kern w:val="0"/>
                <w:sz w:val="20"/>
                <w:lang w:val="en-US" w:eastAsia="zh-CN" w:bidi="ar"/>
              </w:rPr>
            </w:pPr>
            <w:r>
              <w:rPr>
                <w:rFonts w:hint="eastAsia" w:ascii="宋体" w:hAnsi="宋体" w:cs="宋体"/>
                <w:color w:val="000000"/>
                <w:kern w:val="0"/>
                <w:sz w:val="20"/>
                <w:lang w:val="en-US" w:eastAsia="zh-CN" w:bidi="ar"/>
              </w:rPr>
              <w:t>5.33</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color w:val="000000"/>
                <w:kern w:val="0"/>
                <w:sz w:val="20"/>
                <w:lang w:val="en-US" w:eastAsia="zh-CN" w:bidi="ar"/>
              </w:rPr>
            </w:pPr>
            <w:r>
              <w:rPr>
                <w:rFonts w:hint="eastAsia" w:ascii="宋体" w:hAnsi="宋体" w:cs="宋体"/>
                <w:color w:val="000000"/>
                <w:kern w:val="0"/>
                <w:sz w:val="20"/>
                <w:lang w:val="en-US" w:eastAsia="zh-CN" w:bidi="ar"/>
              </w:rPr>
              <w:t>5.33</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color w:val="000000"/>
                <w:kern w:val="0"/>
                <w:sz w:val="20"/>
                <w:lang w:val="en-US" w:eastAsia="zh-CN" w:bidi="ar"/>
              </w:rPr>
            </w:pPr>
            <w:r>
              <w:rPr>
                <w:rFonts w:hint="eastAsia" w:ascii="宋体" w:hAnsi="宋体" w:cs="宋体"/>
                <w:color w:val="000000"/>
                <w:kern w:val="0"/>
                <w:sz w:val="20"/>
                <w:lang w:val="en-US" w:eastAsia="zh-CN" w:bidi="ar"/>
              </w:rPr>
              <w:t>100%</w:t>
            </w:r>
          </w:p>
        </w:tc>
      </w:tr>
      <w:tr>
        <w:tblPrEx>
          <w:tblCellMar>
            <w:top w:w="0" w:type="dxa"/>
            <w:left w:w="0" w:type="dxa"/>
            <w:bottom w:w="0" w:type="dxa"/>
            <w:right w:w="0" w:type="dxa"/>
          </w:tblCellMar>
        </w:tblPrEx>
        <w:trPr>
          <w:trHeight w:val="368"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ascii="宋体" w:hAnsi="宋体" w:cs="宋体"/>
                <w:color w:val="000000"/>
                <w:kern w:val="0"/>
                <w:sz w:val="20"/>
                <w:lang w:bidi="ar"/>
              </w:rPr>
              <w:t>9</w:t>
            </w:r>
          </w:p>
        </w:tc>
        <w:tc>
          <w:tcPr>
            <w:tcW w:w="4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0"/>
              </w:rPr>
            </w:pPr>
            <w:r>
              <w:rPr>
                <w:rFonts w:hint="eastAsia" w:ascii="宋体" w:hAnsi="宋体" w:cs="宋体"/>
                <w:color w:val="000000"/>
                <w:sz w:val="20"/>
              </w:rPr>
              <w:t>县群众信访诉求综合服务中心修缮工程和购置办公用品费</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color w:val="000000"/>
                <w:sz w:val="20"/>
                <w:lang w:val="en-US" w:eastAsia="zh-CN"/>
              </w:rPr>
            </w:pPr>
            <w:r>
              <w:rPr>
                <w:rFonts w:hint="eastAsia" w:ascii="宋体" w:hAnsi="宋体" w:cs="宋体"/>
                <w:color w:val="000000"/>
                <w:kern w:val="0"/>
                <w:sz w:val="20"/>
                <w:lang w:val="en-US" w:eastAsia="zh-CN" w:bidi="ar"/>
              </w:rPr>
              <w:t>49.68</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color w:val="000000"/>
                <w:sz w:val="20"/>
                <w:lang w:val="en-US" w:eastAsia="zh-CN"/>
              </w:rPr>
            </w:pPr>
            <w:r>
              <w:rPr>
                <w:rFonts w:hint="eastAsia" w:ascii="宋体" w:hAnsi="宋体" w:cs="宋体"/>
                <w:color w:val="000000"/>
                <w:sz w:val="20"/>
                <w:lang w:val="en-US" w:eastAsia="zh-CN"/>
              </w:rPr>
              <w:t>49.68</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hint="eastAsia" w:ascii="宋体" w:hAnsi="宋体" w:cs="宋体"/>
                <w:color w:val="000000"/>
                <w:kern w:val="0"/>
                <w:sz w:val="20"/>
                <w:lang w:val="en-US" w:eastAsia="zh-CN" w:bidi="ar"/>
              </w:rPr>
              <w:t>100</w:t>
            </w:r>
            <w:r>
              <w:rPr>
                <w:rFonts w:hint="eastAsia" w:ascii="宋体" w:hAnsi="宋体" w:cs="宋体"/>
                <w:color w:val="000000"/>
                <w:kern w:val="0"/>
                <w:sz w:val="20"/>
                <w:lang w:bidi="ar"/>
              </w:rPr>
              <w:t>%</w:t>
            </w:r>
          </w:p>
        </w:tc>
      </w:tr>
      <w:tr>
        <w:tblPrEx>
          <w:tblCellMar>
            <w:top w:w="0" w:type="dxa"/>
            <w:left w:w="0" w:type="dxa"/>
            <w:bottom w:w="0" w:type="dxa"/>
            <w:right w:w="0" w:type="dxa"/>
          </w:tblCellMar>
        </w:tblPrEx>
        <w:trPr>
          <w:trHeight w:val="368"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ascii="宋体" w:hAnsi="宋体" w:cs="宋体"/>
                <w:color w:val="000000"/>
                <w:kern w:val="0"/>
                <w:sz w:val="20"/>
                <w:lang w:bidi="ar"/>
              </w:rPr>
              <w:t>10</w:t>
            </w:r>
          </w:p>
        </w:tc>
        <w:tc>
          <w:tcPr>
            <w:tcW w:w="47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0"/>
              </w:rPr>
            </w:pPr>
            <w:r>
              <w:rPr>
                <w:rFonts w:hint="eastAsia" w:ascii="宋体" w:hAnsi="宋体" w:cs="宋体"/>
                <w:color w:val="000000"/>
                <w:sz w:val="20"/>
              </w:rPr>
              <w:t>0号高清会议系统使用年费</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color w:val="000000"/>
                <w:sz w:val="20"/>
                <w:lang w:val="en-US" w:eastAsia="zh-CN"/>
              </w:rPr>
            </w:pPr>
            <w:r>
              <w:rPr>
                <w:rFonts w:hint="eastAsia" w:ascii="宋体" w:hAnsi="宋体" w:cs="宋体"/>
                <w:color w:val="000000"/>
                <w:kern w:val="0"/>
                <w:sz w:val="20"/>
                <w:lang w:val="en-US" w:eastAsia="zh-CN" w:bidi="ar"/>
              </w:rPr>
              <w:t>4.80</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color w:val="000000"/>
                <w:sz w:val="20"/>
                <w:lang w:val="en-US" w:eastAsia="zh-CN"/>
              </w:rPr>
            </w:pPr>
            <w:r>
              <w:rPr>
                <w:rFonts w:hint="eastAsia" w:ascii="宋体" w:hAnsi="宋体" w:cs="宋体"/>
                <w:color w:val="000000"/>
                <w:kern w:val="0"/>
                <w:sz w:val="20"/>
                <w:lang w:val="en-US" w:eastAsia="zh-CN" w:bidi="ar"/>
              </w:rPr>
              <w:t>4.80</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hint="eastAsia" w:ascii="宋体" w:hAnsi="宋体" w:cs="宋体"/>
                <w:color w:val="000000"/>
                <w:kern w:val="0"/>
                <w:sz w:val="20"/>
                <w:lang w:val="en-US" w:eastAsia="zh-CN" w:bidi="ar"/>
              </w:rPr>
              <w:t>100</w:t>
            </w:r>
            <w:r>
              <w:rPr>
                <w:rFonts w:hint="eastAsia" w:ascii="宋体" w:hAnsi="宋体" w:cs="宋体"/>
                <w:color w:val="000000"/>
                <w:kern w:val="0"/>
                <w:sz w:val="20"/>
                <w:lang w:bidi="ar"/>
              </w:rPr>
              <w:t>%</w:t>
            </w:r>
          </w:p>
        </w:tc>
      </w:tr>
      <w:tr>
        <w:tblPrEx>
          <w:tblCellMar>
            <w:top w:w="0" w:type="dxa"/>
            <w:left w:w="0" w:type="dxa"/>
            <w:bottom w:w="0" w:type="dxa"/>
            <w:right w:w="0" w:type="dxa"/>
          </w:tblCellMar>
        </w:tblPrEx>
        <w:trPr>
          <w:trHeight w:val="401" w:hRule="atLeast"/>
        </w:trPr>
        <w:tc>
          <w:tcPr>
            <w:tcW w:w="54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rPr>
            </w:pPr>
            <w:r>
              <w:rPr>
                <w:rFonts w:hint="eastAsia" w:ascii="宋体" w:hAnsi="宋体" w:cs="宋体"/>
                <w:color w:val="000000"/>
                <w:kern w:val="0"/>
                <w:sz w:val="20"/>
                <w:lang w:bidi="ar"/>
              </w:rPr>
              <w:t>合  计</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sz w:val="20"/>
                <w:lang w:val="en-US" w:eastAsia="zh-CN"/>
              </w:rPr>
            </w:pPr>
            <w:r>
              <w:rPr>
                <w:rFonts w:hint="eastAsia" w:ascii="宋体" w:hAnsi="宋体" w:cs="宋体"/>
                <w:color w:val="000000"/>
                <w:kern w:val="0"/>
                <w:sz w:val="20"/>
                <w:lang w:val="en-US" w:eastAsia="zh-CN" w:bidi="ar"/>
              </w:rPr>
              <w:t>782.53</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default" w:ascii="宋体" w:hAnsi="宋体" w:eastAsia="宋体" w:cs="宋体"/>
                <w:color w:val="000000"/>
                <w:sz w:val="20"/>
                <w:lang w:val="en-US" w:eastAsia="zh-CN"/>
              </w:rPr>
            </w:pPr>
            <w:r>
              <w:rPr>
                <w:rFonts w:hint="eastAsia" w:ascii="宋体" w:hAnsi="宋体" w:cs="宋体"/>
                <w:color w:val="000000"/>
                <w:kern w:val="0"/>
                <w:sz w:val="20"/>
                <w:lang w:val="en-US" w:eastAsia="zh-CN" w:bidi="ar"/>
              </w:rPr>
              <w:t>560.02</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rPr>
            </w:pPr>
            <w:r>
              <w:rPr>
                <w:rFonts w:hint="eastAsia" w:ascii="宋体" w:hAnsi="宋体" w:cs="宋体"/>
                <w:color w:val="000000"/>
                <w:kern w:val="0"/>
                <w:sz w:val="20"/>
                <w:lang w:val="en-US" w:eastAsia="zh-CN" w:bidi="ar"/>
              </w:rPr>
              <w:t>71.57</w:t>
            </w:r>
            <w:r>
              <w:rPr>
                <w:rFonts w:hint="eastAsia" w:ascii="宋体" w:hAnsi="宋体" w:cs="宋体"/>
                <w:color w:val="000000"/>
                <w:kern w:val="0"/>
                <w:sz w:val="20"/>
                <w:lang w:bidi="ar"/>
              </w:rPr>
              <w:t>%</w:t>
            </w:r>
          </w:p>
        </w:tc>
      </w:tr>
    </w:tbl>
    <w:p>
      <w:pPr>
        <w:spacing w:line="360" w:lineRule="auto"/>
        <w:ind w:firstLine="640" w:firstLineChars="200"/>
        <w:rPr>
          <w:rFonts w:hint="default"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eastAsia="zh-CN"/>
        </w:rPr>
        <w:t>其中，</w:t>
      </w:r>
      <w:r>
        <w:rPr>
          <w:rFonts w:hint="eastAsia" w:ascii="仿宋_GB2312" w:hAnsi="仿宋_GB2312" w:eastAsia="仿宋_GB2312" w:cs="Times New Roman"/>
          <w:sz w:val="32"/>
          <w:szCs w:val="32"/>
        </w:rPr>
        <w:t>党建活动经费</w:t>
      </w:r>
      <w:r>
        <w:rPr>
          <w:rFonts w:hint="eastAsia" w:ascii="仿宋_GB2312" w:hAnsi="仿宋_GB2312" w:eastAsia="仿宋_GB2312" w:cs="Times New Roman"/>
          <w:sz w:val="32"/>
          <w:szCs w:val="32"/>
          <w:lang w:eastAsia="zh-CN"/>
        </w:rPr>
        <w:t>、</w:t>
      </w:r>
      <w:r>
        <w:rPr>
          <w:rFonts w:hint="eastAsia" w:ascii="仿宋_GB2312" w:hAnsi="仿宋_GB2312" w:eastAsia="仿宋_GB2312" w:cs="Times New Roman"/>
          <w:sz w:val="32"/>
          <w:szCs w:val="32"/>
        </w:rPr>
        <w:t>会议费</w:t>
      </w:r>
      <w:r>
        <w:rPr>
          <w:rFonts w:hint="eastAsia" w:ascii="仿宋_GB2312" w:hAnsi="仿宋_GB2312" w:eastAsia="仿宋_GB2312" w:cs="Times New Roman"/>
          <w:sz w:val="32"/>
          <w:szCs w:val="32"/>
          <w:lang w:eastAsia="zh-CN"/>
        </w:rPr>
        <w:t>支出进度略微缓慢是由于财政预算资金安排，将</w:t>
      </w:r>
      <w:r>
        <w:rPr>
          <w:rFonts w:hint="eastAsia" w:ascii="仿宋_GB2312" w:hAnsi="仿宋_GB2312" w:eastAsia="仿宋_GB2312" w:cs="Times New Roman"/>
          <w:sz w:val="32"/>
          <w:szCs w:val="32"/>
          <w:lang w:val="en-US" w:eastAsia="zh-CN"/>
        </w:rPr>
        <w:t>12月份的这部分支出安排到次年再报。业务经费预算金额是包含非税支出拨款38万，本年度未使用该项资金。</w:t>
      </w:r>
    </w:p>
    <w:p>
      <w:pPr>
        <w:numPr>
          <w:ilvl w:val="0"/>
          <w:numId w:val="2"/>
        </w:numPr>
        <w:spacing w:line="360" w:lineRule="auto"/>
        <w:ind w:firstLine="643" w:firstLineChars="200"/>
        <w:rPr>
          <w:rFonts w:ascii="仿宋_GB2312" w:hAnsi="仿宋_GB2312" w:eastAsia="仿宋_GB2312"/>
          <w:b/>
          <w:bCs/>
          <w:sz w:val="32"/>
          <w:szCs w:val="32"/>
        </w:rPr>
      </w:pPr>
      <w:r>
        <w:rPr>
          <w:rFonts w:hint="eastAsia" w:ascii="仿宋_GB2312" w:hAnsi="仿宋_GB2312" w:eastAsia="仿宋_GB2312"/>
          <w:b/>
          <w:bCs/>
          <w:sz w:val="32"/>
          <w:szCs w:val="32"/>
        </w:rPr>
        <w:t>项目的绩效目标完成情况（经济、政治和社会效益）</w:t>
      </w:r>
    </w:p>
    <w:p>
      <w:pPr>
        <w:spacing w:line="360" w:lineRule="auto"/>
        <w:ind w:firstLine="648" w:firstLineChars="200"/>
        <w:rPr>
          <w:rFonts w:ascii="仿宋_GB2312" w:eastAsia="仿宋_GB2312"/>
          <w:sz w:val="32"/>
          <w:szCs w:val="32"/>
        </w:rPr>
      </w:pPr>
      <w:r>
        <w:rPr>
          <w:rFonts w:hint="eastAsia" w:ascii="仿宋_GB2312" w:eastAsia="仿宋_GB2312"/>
          <w:spacing w:val="2"/>
          <w:kern w:val="10"/>
          <w:position w:val="2"/>
          <w:sz w:val="32"/>
          <w:szCs w:val="32"/>
        </w:rPr>
        <w:t>202</w:t>
      </w:r>
      <w:r>
        <w:rPr>
          <w:rFonts w:hint="eastAsia" w:ascii="仿宋_GB2312" w:eastAsia="仿宋_GB2312"/>
          <w:spacing w:val="2"/>
          <w:kern w:val="10"/>
          <w:position w:val="2"/>
          <w:sz w:val="32"/>
          <w:szCs w:val="32"/>
          <w:lang w:val="en-US" w:eastAsia="zh-CN"/>
        </w:rPr>
        <w:t>2</w:t>
      </w:r>
      <w:r>
        <w:rPr>
          <w:rFonts w:hint="eastAsia" w:ascii="仿宋_GB2312" w:eastAsia="仿宋_GB2312"/>
          <w:spacing w:val="2"/>
          <w:kern w:val="10"/>
          <w:position w:val="2"/>
          <w:sz w:val="32"/>
          <w:szCs w:val="32"/>
        </w:rPr>
        <w:t>年，我局紧紧围绕</w:t>
      </w:r>
      <w:r>
        <w:rPr>
          <w:rFonts w:hint="eastAsia" w:ascii="仿宋_GB2312" w:eastAsia="仿宋_GB2312" w:cs="Tahoma"/>
          <w:spacing w:val="2"/>
          <w:kern w:val="10"/>
          <w:position w:val="2"/>
          <w:sz w:val="32"/>
          <w:szCs w:val="32"/>
        </w:rPr>
        <w:t>县委、县政府的各项中心工作，在平凡的工作中，牢牢</w:t>
      </w:r>
      <w:r>
        <w:rPr>
          <w:rFonts w:hint="eastAsia" w:ascii="仿宋_GB2312" w:hAnsi="??" w:eastAsia="仿宋_GB2312"/>
          <w:sz w:val="32"/>
          <w:szCs w:val="32"/>
        </w:rPr>
        <w:t>抓住“做好服务工作”这一主线，坚持务实创新、扎实工作，在</w:t>
      </w:r>
      <w:r>
        <w:rPr>
          <w:rFonts w:hint="eastAsia" w:ascii="仿宋_GB2312" w:hAnsi="??" w:eastAsia="仿宋_GB2312"/>
          <w:sz w:val="32"/>
          <w:szCs w:val="32"/>
          <w:lang w:eastAsia="zh-CN"/>
        </w:rPr>
        <w:t>公务</w:t>
      </w:r>
      <w:r>
        <w:rPr>
          <w:rFonts w:hint="eastAsia" w:ascii="仿宋_GB2312" w:hAnsi="??" w:eastAsia="仿宋_GB2312"/>
          <w:sz w:val="32"/>
          <w:szCs w:val="32"/>
        </w:rPr>
        <w:t>接待、公车管理、资产管理和</w:t>
      </w:r>
      <w:r>
        <w:rPr>
          <w:rFonts w:hint="eastAsia" w:ascii="仿宋_GB2312" w:eastAsia="仿宋_GB2312"/>
          <w:sz w:val="32"/>
          <w:szCs w:val="32"/>
        </w:rPr>
        <w:t>县级</w:t>
      </w:r>
      <w:r>
        <w:rPr>
          <w:rFonts w:hint="eastAsia" w:ascii="仿宋_GB2312" w:eastAsia="仿宋_GB2312"/>
          <w:sz w:val="32"/>
          <w:szCs w:val="32"/>
          <w:lang w:eastAsia="zh-CN"/>
        </w:rPr>
        <w:t>大型会议、</w:t>
      </w:r>
      <w:r>
        <w:rPr>
          <w:rFonts w:hint="eastAsia" w:ascii="仿宋_GB2312" w:eastAsia="仿宋_GB2312"/>
          <w:sz w:val="32"/>
          <w:szCs w:val="32"/>
        </w:rPr>
        <w:t>重大活动和应急处置工作中</w:t>
      </w:r>
      <w:r>
        <w:rPr>
          <w:rFonts w:hint="eastAsia" w:ascii="仿宋_GB2312" w:hAnsi="??" w:eastAsia="仿宋_GB2312"/>
          <w:sz w:val="32"/>
          <w:szCs w:val="32"/>
        </w:rPr>
        <w:t>，</w:t>
      </w:r>
      <w:r>
        <w:rPr>
          <w:rFonts w:hint="eastAsia" w:ascii="仿宋_GB2312" w:eastAsia="仿宋_GB2312"/>
          <w:sz w:val="32"/>
          <w:szCs w:val="32"/>
        </w:rPr>
        <w:t>较好地完成了各项工作任务。</w:t>
      </w:r>
    </w:p>
    <w:p>
      <w:pPr>
        <w:numPr>
          <w:ilvl w:val="0"/>
          <w:numId w:val="5"/>
        </w:numPr>
        <w:spacing w:line="360" w:lineRule="auto"/>
        <w:ind w:firstLine="640" w:firstLineChars="200"/>
        <w:rPr>
          <w:rFonts w:hint="eastAsia" w:ascii="仿宋_GB2312" w:hAnsi="??" w:eastAsia="仿宋_GB2312" w:cs="Times New Roman"/>
          <w:sz w:val="32"/>
          <w:szCs w:val="32"/>
        </w:rPr>
      </w:pPr>
      <w:r>
        <w:rPr>
          <w:rFonts w:hint="eastAsia" w:ascii="仿宋_GB2312" w:hAnsi="??" w:eastAsia="仿宋_GB2312"/>
          <w:sz w:val="32"/>
          <w:szCs w:val="32"/>
        </w:rPr>
        <w:t>加强党建引领，致力支部标准化</w:t>
      </w:r>
      <w:r>
        <w:rPr>
          <w:rFonts w:hint="eastAsia" w:ascii="仿宋_GB2312" w:hAnsi="??" w:eastAsia="仿宋_GB2312" w:cs="Times New Roman"/>
          <w:sz w:val="32"/>
          <w:szCs w:val="32"/>
        </w:rPr>
        <w:t>建设。</w:t>
      </w:r>
      <w:r>
        <w:rPr>
          <w:rFonts w:hint="eastAsia" w:ascii="仿宋_GB2312" w:hAnsi="??" w:eastAsia="仿宋_GB2312" w:cs="Times New Roman"/>
          <w:sz w:val="32"/>
          <w:szCs w:val="32"/>
          <w:lang w:val="en-US" w:eastAsia="zh-CN"/>
        </w:rPr>
        <w:t>一是规范党支部政治思想建设，结合党员思想和工作实际严格落实“三会一课”，精心组织开展组织生活和民主评议党员工作；二是强化党员教育和队伍建设，通过党员大会、党课、主题党日活动、微信群等方式，深入学习了习近平新时代中国特色社会主义思想和党的二十大报告的核心要义，扎实开展党史教育、党规党纪教育、革命传统教育、形势政策教育；三是坚持党内民主和监督，始终坚持民主集中制，凡属单位重要事项都能按照集体领导、民主集中、个别酝酿、会议决定的原则作出部署和决定；四是发挥密切联系服务群众示范作用，在组织党员开展社区报到、周五清洁日清扫、节日慰问困难群众、网格入户宣传创文和疫情防控等活动中，带领全局党员积极参与，为网格居民办了13件好事实事。</w:t>
      </w:r>
    </w:p>
    <w:p>
      <w:pPr>
        <w:numPr>
          <w:ilvl w:val="0"/>
          <w:numId w:val="5"/>
        </w:numPr>
        <w:spacing w:line="360" w:lineRule="auto"/>
        <w:ind w:firstLine="640" w:firstLineChars="200"/>
        <w:rPr>
          <w:rFonts w:hint="eastAsia" w:ascii="仿宋_GB2312" w:hAnsi="??" w:eastAsia="仿宋_GB2312" w:cs="Times New Roman"/>
          <w:sz w:val="32"/>
          <w:szCs w:val="32"/>
          <w:lang w:val="en-US" w:eastAsia="zh-CN"/>
        </w:rPr>
      </w:pPr>
      <w:r>
        <w:rPr>
          <w:rFonts w:hint="eastAsia" w:ascii="仿宋_GB2312" w:hAnsi="??" w:eastAsia="仿宋_GB2312"/>
          <w:sz w:val="32"/>
          <w:szCs w:val="32"/>
        </w:rPr>
        <w:t>提升后勤服务保障质量。一</w:t>
      </w:r>
      <w:r>
        <w:rPr>
          <w:rFonts w:hint="eastAsia" w:ascii="仿宋_GB2312" w:hAnsi="??" w:eastAsia="仿宋_GB2312" w:cs="Times New Roman"/>
          <w:sz w:val="32"/>
          <w:szCs w:val="32"/>
          <w:lang w:val="en-US" w:eastAsia="zh-CN"/>
        </w:rPr>
        <w:t>是加强会务管理，织密会务保密网，与会务人员签订保密协议，同时，加强对中心会堂、政府会场、财政五楼会议室的管理，安排会务人员负责会场保洁、茶水及影音设备维修和保养，组织后勤保障服务中心工作人员协助会场布置，保障各重要会议顺利召开；二是加强物业管理，保障县政府大院物业服务质量，与物业公司签订物业服务定点采购合同，就县政府大院公共环境卫生、疫情防控、绿化、门禁、消防安全和停车等进行规范管理；三是持续做好各项后勤保障服务工作，按规程先后及时采购和配送了一批涉及会务、应急、防疫、防汛、灭火等后勤物资，认真完成了“10.7”和“12.4”疫情应急处置、“10.24”森林火灾应急处置、南水水库泄洪等各项后勤保障任务，充分展现了机关事务人善作善成风采；四是合规采购，严格执行政府采购相关规定，完成了县委、县政府交办的各项采购任务，探索出了一套程序合法、价格合理、质量经得起考验、符合申购人期望的平台采购方法。</w:t>
      </w:r>
    </w:p>
    <w:p>
      <w:pPr>
        <w:numPr>
          <w:ilvl w:val="0"/>
          <w:numId w:val="5"/>
        </w:numPr>
        <w:spacing w:line="360" w:lineRule="auto"/>
        <w:ind w:firstLine="640" w:firstLineChars="200"/>
        <w:rPr>
          <w:rFonts w:hint="eastAsia" w:ascii="仿宋_GB2312" w:hAnsi="??" w:eastAsia="仿宋_GB2312" w:cs="Times New Roman"/>
          <w:sz w:val="32"/>
          <w:szCs w:val="32"/>
          <w:lang w:val="en-US" w:eastAsia="zh-CN"/>
        </w:rPr>
      </w:pPr>
      <w:r>
        <w:rPr>
          <w:rFonts w:hint="eastAsia" w:ascii="仿宋_GB2312" w:hAnsi="??" w:eastAsia="仿宋_GB2312" w:cs="Times New Roman"/>
          <w:sz w:val="32"/>
          <w:szCs w:val="32"/>
          <w:lang w:val="en-US" w:eastAsia="zh-CN"/>
        </w:rPr>
        <w:t>规范零星工程修缮</w:t>
      </w:r>
      <w:r>
        <w:rPr>
          <w:rFonts w:hint="eastAsia" w:ascii="仿宋_GB2312" w:hAnsi="??" w:eastAsia="仿宋_GB2312"/>
          <w:sz w:val="32"/>
          <w:szCs w:val="32"/>
        </w:rPr>
        <w:t>管理，按照修缮前严格审</w:t>
      </w:r>
      <w:r>
        <w:rPr>
          <w:rFonts w:hint="eastAsia" w:ascii="仿宋_GB2312" w:hAnsi="??" w:eastAsia="仿宋_GB2312" w:cs="Times New Roman"/>
          <w:sz w:val="32"/>
          <w:szCs w:val="32"/>
          <w:lang w:val="en-US" w:eastAsia="zh-CN"/>
        </w:rPr>
        <w:t>核和评估，修缮时认真把控质量和费用，修缮后验收，经财审和班子会审核同意后报账的流程，完成了县政府大院零星工程修缮和瑶尚居隔离酒店防疫维修工程、县交通局七楼县委编办维修工程、县信访局修缮工程等县委、县政府交办的修缮工作。在办公用房方面，完成2022年度党政机关办公用房信息统计报告工作，完成县委编办、县代建中心办公用房调配及修缮工作，完成35家商铺日常管理及维修工作。</w:t>
      </w:r>
    </w:p>
    <w:p>
      <w:pPr>
        <w:numPr>
          <w:ilvl w:val="0"/>
          <w:numId w:val="5"/>
        </w:numPr>
        <w:spacing w:line="360" w:lineRule="auto"/>
        <w:ind w:firstLine="640" w:firstLineChars="200"/>
        <w:rPr>
          <w:rFonts w:hint="eastAsia" w:ascii="仿宋_GB2312" w:hAnsi="??" w:eastAsia="仿宋_GB2312" w:cs="Times New Roman"/>
          <w:sz w:val="32"/>
          <w:szCs w:val="32"/>
          <w:lang w:val="en-US" w:eastAsia="zh-CN"/>
        </w:rPr>
      </w:pPr>
      <w:r>
        <w:rPr>
          <w:rFonts w:hint="eastAsia" w:ascii="仿宋_GB2312" w:hAnsi="??" w:eastAsia="仿宋_GB2312"/>
          <w:sz w:val="32"/>
          <w:szCs w:val="32"/>
        </w:rPr>
        <w:t>强化公务用车管理职能</w:t>
      </w:r>
      <w:r>
        <w:rPr>
          <w:rFonts w:hint="eastAsia" w:ascii="仿宋_GB2312" w:hAnsi="??" w:eastAsia="仿宋_GB2312" w:cs="Times New Roman"/>
          <w:sz w:val="32"/>
          <w:szCs w:val="32"/>
        </w:rPr>
        <w:t>。</w:t>
      </w:r>
      <w:r>
        <w:rPr>
          <w:rFonts w:hint="eastAsia" w:ascii="仿宋_GB2312" w:hAnsi="??" w:eastAsia="仿宋_GB2312" w:cs="Times New Roman"/>
          <w:sz w:val="32"/>
          <w:szCs w:val="32"/>
          <w:lang w:val="en-US" w:eastAsia="zh-CN"/>
        </w:rPr>
        <w:t>进一步规范党政机关公务用车管理，有效保障公务活动，促进党风廉政建设和节约型机关建设。一是多措并举规范公务用车管理。废止了与上级新要求不相符的《关于进一步规范社会化租赁车辆的通知》，制定印发了《关于进一步规范各镇人民政府、县直各单位公务租车管理工作的通知》。二是强化公务用车管理平台对全县一般公务用车的使用和管理，密切关注公务用车安全、维修、保险、油料、驾驶员等关键环节，严格执行公务车辆维保事前审批制，努力杜绝“车轮上的腐败”情况发生。2022年度公务车辆维保59台次，费用19.8万元，比上年减少17.41万元，费用压缩46.8%。三是加大政府机关购置新能源汽车力度。积极利用集中开会和上门咨询等机会，主动向各单位各乡镇宣传购置新能源汽车政策，指导相关单位在不超过核定车辆编制数量的前提下合理安排部门预算，优先购置符合要求且适用性强的新能源汽车。2022年全县各政府机关购置新能源汽车16台。</w:t>
      </w:r>
    </w:p>
    <w:p>
      <w:pPr>
        <w:numPr>
          <w:ilvl w:val="0"/>
          <w:numId w:val="5"/>
        </w:numPr>
        <w:spacing w:line="360" w:lineRule="auto"/>
        <w:ind w:firstLine="640" w:firstLineChars="200"/>
        <w:rPr>
          <w:rFonts w:hint="eastAsia" w:ascii="仿宋_GB2312" w:hAnsi="??" w:eastAsia="仿宋_GB2312" w:cs="Times New Roman"/>
          <w:sz w:val="32"/>
          <w:szCs w:val="32"/>
        </w:rPr>
      </w:pPr>
      <w:r>
        <w:rPr>
          <w:rFonts w:hint="eastAsia" w:ascii="仿宋_GB2312" w:hAnsi="??" w:eastAsia="仿宋_GB2312" w:cs="Times New Roman"/>
          <w:sz w:val="32"/>
          <w:szCs w:val="32"/>
          <w:lang w:val="en-US" w:eastAsia="zh-CN"/>
        </w:rPr>
        <w:t>严格规范公务接待工作，按程序报请县委县政府，并由县委办公室县人民政府办公室联合印发了《乳源瑶族自治县党政机关国内公务接待管理工作制度》。严格控制陪餐人数，实行对口接待，严防超标准超规格、非公务情况纳入接待情况发生，做到不突破标准、不违反程序、不变相违规；严格费用报销，切实落实结算“五单合一”机制，制度化、常态化执行公务接待报批流程。不违反公务接待管理规定的前提下，本着有利公务、务实节俭的原则，全年完成公务接待任务约380批次。</w:t>
      </w:r>
    </w:p>
    <w:p>
      <w:pPr>
        <w:numPr>
          <w:ilvl w:val="0"/>
          <w:numId w:val="5"/>
        </w:numPr>
        <w:spacing w:line="360" w:lineRule="auto"/>
        <w:ind w:firstLine="640" w:firstLineChars="200"/>
        <w:rPr>
          <w:rFonts w:hint="eastAsia" w:ascii="仿宋_GB2312" w:hAnsi="??" w:eastAsia="仿宋_GB2312" w:cs="Times New Roman"/>
          <w:sz w:val="32"/>
          <w:szCs w:val="32"/>
        </w:rPr>
      </w:pPr>
      <w:r>
        <w:rPr>
          <w:rFonts w:hint="eastAsia" w:ascii="仿宋_GB2312" w:hAnsi="??" w:eastAsia="仿宋_GB2312"/>
          <w:sz w:val="32"/>
          <w:szCs w:val="32"/>
        </w:rPr>
        <w:t>疫情防控</w:t>
      </w:r>
      <w:r>
        <w:rPr>
          <w:rFonts w:hint="eastAsia" w:ascii="仿宋_GB2312" w:hAnsi="??" w:eastAsia="仿宋_GB2312"/>
          <w:sz w:val="32"/>
          <w:szCs w:val="32"/>
          <w:lang w:eastAsia="zh-CN"/>
        </w:rPr>
        <w:t>应急处置</w:t>
      </w:r>
      <w:r>
        <w:rPr>
          <w:rFonts w:hint="eastAsia" w:ascii="仿宋_GB2312" w:hAnsi="??" w:eastAsia="仿宋_GB2312"/>
          <w:sz w:val="32"/>
          <w:szCs w:val="32"/>
        </w:rPr>
        <w:t>期间，</w:t>
      </w:r>
      <w:r>
        <w:rPr>
          <w:rFonts w:hint="eastAsia" w:ascii="仿宋_GB2312" w:hAnsi="??" w:eastAsia="仿宋_GB2312"/>
          <w:sz w:val="32"/>
          <w:szCs w:val="32"/>
          <w:lang w:eastAsia="zh-CN"/>
        </w:rPr>
        <w:t>提供集中隔离观察点，并</w:t>
      </w:r>
      <w:r>
        <w:rPr>
          <w:rFonts w:hint="eastAsia" w:ascii="仿宋_GB2312" w:hAnsi="??" w:eastAsia="仿宋_GB2312"/>
          <w:sz w:val="32"/>
          <w:szCs w:val="32"/>
        </w:rPr>
        <w:t>全力保障</w:t>
      </w:r>
      <w:r>
        <w:rPr>
          <w:rFonts w:hint="eastAsia" w:ascii="仿宋_GB2312" w:hAnsi="??" w:eastAsia="仿宋_GB2312"/>
          <w:sz w:val="32"/>
          <w:szCs w:val="32"/>
          <w:lang w:eastAsia="zh-CN"/>
        </w:rPr>
        <w:t>我县</w:t>
      </w:r>
      <w:r>
        <w:rPr>
          <w:rFonts w:hint="eastAsia" w:ascii="仿宋_GB2312" w:hAnsi="??" w:eastAsia="仿宋_GB2312"/>
          <w:sz w:val="32"/>
          <w:szCs w:val="32"/>
        </w:rPr>
        <w:t>疫情防控</w:t>
      </w:r>
      <w:r>
        <w:rPr>
          <w:rFonts w:hint="eastAsia" w:ascii="仿宋_GB2312" w:hAnsi="??" w:eastAsia="仿宋_GB2312"/>
          <w:sz w:val="32"/>
          <w:szCs w:val="32"/>
          <w:lang w:eastAsia="zh-CN"/>
        </w:rPr>
        <w:t>的后勤服务工作</w:t>
      </w:r>
      <w:r>
        <w:rPr>
          <w:rFonts w:hint="eastAsia" w:ascii="仿宋_GB2312" w:hAnsi="??" w:eastAsia="仿宋_GB2312"/>
          <w:sz w:val="32"/>
          <w:szCs w:val="32"/>
        </w:rPr>
        <w:t>；联系相关部门对县政府大院进行定期消杀，在县政府大院设立检查点，保障大院办公环境安全；对公务车进行统一消毒，对</w:t>
      </w:r>
      <w:r>
        <w:rPr>
          <w:rFonts w:hint="eastAsia" w:ascii="仿宋_GB2312" w:hAnsi="??" w:eastAsia="仿宋_GB2312"/>
          <w:sz w:val="32"/>
          <w:szCs w:val="32"/>
          <w:lang w:eastAsia="zh-CN"/>
        </w:rPr>
        <w:t>机关饭堂</w:t>
      </w:r>
      <w:r>
        <w:rPr>
          <w:rFonts w:hint="eastAsia" w:ascii="仿宋_GB2312" w:hAnsi="??" w:eastAsia="仿宋_GB2312"/>
          <w:sz w:val="32"/>
          <w:szCs w:val="32"/>
        </w:rPr>
        <w:t>进行全面定期消杀，及时防止新冠肺炎疫情扩散，稳步提高传染病防控能力，确保全县疫情防控工作顺利展开。</w:t>
      </w:r>
    </w:p>
    <w:p>
      <w:pPr>
        <w:numPr>
          <w:ilvl w:val="0"/>
          <w:numId w:val="2"/>
        </w:numPr>
        <w:spacing w:line="360" w:lineRule="auto"/>
        <w:ind w:firstLine="643" w:firstLineChars="200"/>
        <w:rPr>
          <w:rFonts w:ascii="仿宋_GB2312" w:hAnsi="仿宋_GB2312" w:eastAsia="仿宋_GB2312"/>
          <w:b/>
          <w:bCs/>
          <w:sz w:val="32"/>
          <w:szCs w:val="32"/>
        </w:rPr>
      </w:pPr>
      <w:r>
        <w:rPr>
          <w:rFonts w:hint="eastAsia" w:ascii="仿宋_GB2312" w:hAnsi="仿宋_GB2312" w:eastAsia="仿宋_GB2312"/>
          <w:b/>
          <w:bCs/>
          <w:sz w:val="32"/>
          <w:szCs w:val="32"/>
        </w:rPr>
        <w:t>项目资金使用效益，对环境、经济、社会的可持续影响</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通过推进项目建设，圆满完成为县委、县政府的各项中心工作提供有力后勤服务保障的任务，极大地提升了我县经济实力，取得了极大的生态、经济和社会效益，</w:t>
      </w:r>
      <w:r>
        <w:rPr>
          <w:rFonts w:hint="eastAsia" w:ascii="仿宋_GB2312" w:hAnsi="仿宋_GB2312" w:eastAsia="仿宋_GB2312"/>
          <w:sz w:val="32"/>
          <w:szCs w:val="32"/>
          <w:lang w:eastAsia="zh-CN"/>
        </w:rPr>
        <w:t>有效提高乳源知名度，</w:t>
      </w:r>
      <w:r>
        <w:rPr>
          <w:rFonts w:hint="eastAsia" w:ascii="仿宋_GB2312" w:hAnsi="仿宋_GB2312" w:eastAsia="仿宋_GB2312"/>
          <w:sz w:val="32"/>
          <w:szCs w:val="32"/>
        </w:rPr>
        <w:t>大大提振了我们抓产业和经济发展的信心和决心。</w:t>
      </w:r>
    </w:p>
    <w:p>
      <w:pPr>
        <w:spacing w:line="360" w:lineRule="auto"/>
        <w:ind w:firstLine="643" w:firstLineChars="200"/>
        <w:rPr>
          <w:rFonts w:ascii="仿宋_GB2312" w:eastAsia="仿宋_GB2312"/>
          <w:b/>
          <w:bCs/>
          <w:sz w:val="32"/>
          <w:szCs w:val="32"/>
        </w:rPr>
      </w:pPr>
      <w:r>
        <w:rPr>
          <w:rFonts w:hint="eastAsia" w:ascii="仿宋_GB2312" w:hAnsi="仿宋_GB2312" w:eastAsia="仿宋_GB2312"/>
          <w:b/>
          <w:bCs/>
          <w:sz w:val="32"/>
          <w:szCs w:val="32"/>
          <w:lang w:eastAsia="zh-CN"/>
        </w:rPr>
        <w:t>（二）</w:t>
      </w:r>
      <w:r>
        <w:rPr>
          <w:rFonts w:hint="eastAsia" w:ascii="仿宋_GB2312" w:eastAsia="仿宋_GB2312"/>
          <w:b/>
          <w:bCs/>
          <w:sz w:val="32"/>
          <w:szCs w:val="32"/>
        </w:rPr>
        <w:t>存在问题</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绩效目标设定不够科学。在申报部门预算时，中心绩效目标设定指向不够明确，目标选用重点不突出，定性指标较多，定量指标较少。如由于政府采购工作的不可预见性，单位在实际运转过程中，会有一些突发事情等不可预见因素，造成业务性项目支出预算</w:t>
      </w:r>
      <w:r>
        <w:rPr>
          <w:rFonts w:hint="eastAsia" w:ascii="仿宋_GB2312" w:eastAsia="仿宋_GB2312"/>
          <w:sz w:val="32"/>
          <w:szCs w:val="32"/>
          <w:lang w:eastAsia="zh-CN"/>
        </w:rPr>
        <w:t>不够</w:t>
      </w:r>
      <w:r>
        <w:rPr>
          <w:rFonts w:hint="eastAsia" w:ascii="仿宋_GB2312" w:eastAsia="仿宋_GB2312"/>
          <w:sz w:val="32"/>
          <w:szCs w:val="32"/>
        </w:rPr>
        <w:t>精细。</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项目管理制度有所欠缺，资金分配不均匀。项目前期经费使用没有制定具体的分配依据，而是根据实际情况调整使用项目资金。</w:t>
      </w:r>
      <w:bookmarkStart w:id="0" w:name="_GoBack"/>
      <w:bookmarkEnd w:id="0"/>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ascii="仿宋" w:hAnsi="仿宋" w:eastAsia="仿宋" w:cs="仿宋"/>
          <w:sz w:val="32"/>
          <w:szCs w:val="32"/>
        </w:rPr>
      </w:pPr>
      <w:r>
        <w:rPr>
          <w:rFonts w:hint="eastAsia" w:ascii="仿宋_GB2312" w:eastAsia="仿宋_GB2312"/>
          <w:sz w:val="32"/>
          <w:szCs w:val="32"/>
        </w:rPr>
        <w:t>（一）进一步加强预算绩效管理。规范绩效目标编制，科学选定绩效指标，尽量多使用定量指标，合理确定指标标准，加强绩效评价工作，增强单位的支出责任，提高财政资金的使用效益。</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建章立制，强化项目资金的监督。主管部门要对项目实施和资金使用进行全程跟踪监督，及时掌握项目进度，督促项目实施单位加强管理，定期报告资金使用情况和项目实施情况，增加项目资金使用的透明度。同时，要充分发挥纪委、审计监督部门的作用，建立长期有效的项目资金监督管理新体系，确保项目资金用到实处，实现效益最大化。</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理顺资金管理体制。要明确各业务部门在项目资金使用、管理中的分工，做到权责分明，责任到人。要建立项目申报、实施、验收，评价等一整套规范、科学的管理制度，并严格执行。对资金的管理，要由主管部门建立健全系统的管理制度，规范资金使用，做到专款专用。所有项目资金从分配到使用都要明确，做到资金、项目对应，归档备查，以明确资金流向和使用情况，防止截留、挪用现象的发生。</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（四）规范财务行为，提高会计基础工作质量。</w:t>
      </w:r>
      <w:r>
        <w:rPr>
          <w:rFonts w:hint="eastAsia" w:ascii="仿宋_GB2312" w:eastAsia="仿宋_GB2312"/>
          <w:sz w:val="32"/>
          <w:szCs w:val="32"/>
          <w:lang w:eastAsia="zh-CN"/>
        </w:rPr>
        <w:t>加强对财务人员的业务学习培训，</w:t>
      </w:r>
      <w:r>
        <w:rPr>
          <w:rFonts w:hint="eastAsia" w:ascii="仿宋_GB2312" w:eastAsia="仿宋_GB2312"/>
          <w:sz w:val="32"/>
          <w:szCs w:val="32"/>
        </w:rPr>
        <w:t>严格执行财经纪律和各项财经政策，自觉接受财政、审计、纪检监察等职能部门的监督，做到有法可依，有章可循，实现管理的规范化、制度化。进一步健全机关各项财务制度，严格财经手续，完善经费使用内部控制制度，加强对原始票据的合法性、完整性审核，做到票据合法规范，手续完备。</w:t>
      </w:r>
    </w:p>
    <w:p>
      <w:pPr>
        <w:spacing w:line="360" w:lineRule="auto"/>
        <w:ind w:firstLine="640" w:firstLineChars="200"/>
        <w:rPr>
          <w:rFonts w:ascii="黑体" w:eastAsia="黑体"/>
          <w:sz w:val="32"/>
          <w:szCs w:val="32"/>
        </w:rPr>
      </w:pPr>
      <w:r>
        <w:rPr>
          <w:rFonts w:hint="eastAsia" w:ascii="黑体" w:eastAsia="黑体"/>
          <w:sz w:val="32"/>
          <w:szCs w:val="32"/>
        </w:rPr>
        <w:t>四、其他需要说明的情况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
    <w:altName w:val="Times New Roman"/>
    <w:panose1 w:val="00000000000000000000"/>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94C2F2"/>
    <w:multiLevelType w:val="singleLevel"/>
    <w:tmpl w:val="8394C2F2"/>
    <w:lvl w:ilvl="0" w:tentative="0">
      <w:start w:val="1"/>
      <w:numFmt w:val="decimal"/>
      <w:suff w:val="nothing"/>
      <w:lvlText w:val="（%1）"/>
      <w:lvlJc w:val="left"/>
    </w:lvl>
  </w:abstractNum>
  <w:abstractNum w:abstractNumId="1">
    <w:nsid w:val="9CF053D2"/>
    <w:multiLevelType w:val="singleLevel"/>
    <w:tmpl w:val="9CF053D2"/>
    <w:lvl w:ilvl="0" w:tentative="0">
      <w:start w:val="1"/>
      <w:numFmt w:val="decimal"/>
      <w:suff w:val="nothing"/>
      <w:lvlText w:val="（%1）"/>
      <w:lvlJc w:val="left"/>
    </w:lvl>
  </w:abstractNum>
  <w:abstractNum w:abstractNumId="2">
    <w:nsid w:val="B07161A4"/>
    <w:multiLevelType w:val="singleLevel"/>
    <w:tmpl w:val="B07161A4"/>
    <w:lvl w:ilvl="0" w:tentative="0">
      <w:start w:val="2"/>
      <w:numFmt w:val="chineseCounting"/>
      <w:suff w:val="nothing"/>
      <w:lvlText w:val="（%1）"/>
      <w:lvlJc w:val="left"/>
      <w:rPr>
        <w:rFonts w:hint="eastAsia"/>
      </w:rPr>
    </w:lvl>
  </w:abstractNum>
  <w:abstractNum w:abstractNumId="3">
    <w:nsid w:val="E854FCEF"/>
    <w:multiLevelType w:val="singleLevel"/>
    <w:tmpl w:val="E854FCEF"/>
    <w:lvl w:ilvl="0" w:tentative="0">
      <w:start w:val="1"/>
      <w:numFmt w:val="decimal"/>
      <w:suff w:val="nothing"/>
      <w:lvlText w:val="%1、"/>
      <w:lvlJc w:val="left"/>
    </w:lvl>
  </w:abstractNum>
  <w:abstractNum w:abstractNumId="4">
    <w:nsid w:val="7D3B0BC1"/>
    <w:multiLevelType w:val="singleLevel"/>
    <w:tmpl w:val="7D3B0BC1"/>
    <w:lvl w:ilvl="0" w:tentative="0">
      <w:start w:val="1"/>
      <w:numFmt w:val="decimal"/>
      <w:suff w:val="nothing"/>
      <w:lvlText w:val="（%1）"/>
      <w:lvlJc w:val="left"/>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kYjI3MDQxNTI2OTcwZWQ1ZTllNWZmYWUyYmJjNjIifQ=="/>
  </w:docVars>
  <w:rsids>
    <w:rsidRoot w:val="00F22CA7"/>
    <w:rsid w:val="00016241"/>
    <w:rsid w:val="000560B1"/>
    <w:rsid w:val="000C7708"/>
    <w:rsid w:val="000F09C5"/>
    <w:rsid w:val="00182223"/>
    <w:rsid w:val="00313C86"/>
    <w:rsid w:val="003B25CA"/>
    <w:rsid w:val="004903E7"/>
    <w:rsid w:val="00534213"/>
    <w:rsid w:val="006F3C8D"/>
    <w:rsid w:val="006F6EA7"/>
    <w:rsid w:val="0087074D"/>
    <w:rsid w:val="00916C35"/>
    <w:rsid w:val="009C14D0"/>
    <w:rsid w:val="00DA52CB"/>
    <w:rsid w:val="00E409B6"/>
    <w:rsid w:val="00EE444F"/>
    <w:rsid w:val="00F22CA7"/>
    <w:rsid w:val="00F82A22"/>
    <w:rsid w:val="03B020F5"/>
    <w:rsid w:val="048C54B6"/>
    <w:rsid w:val="04973A53"/>
    <w:rsid w:val="04AA006F"/>
    <w:rsid w:val="05BE295E"/>
    <w:rsid w:val="07583E9D"/>
    <w:rsid w:val="088D37AA"/>
    <w:rsid w:val="090C58F2"/>
    <w:rsid w:val="09105EE9"/>
    <w:rsid w:val="0E646141"/>
    <w:rsid w:val="11580EB4"/>
    <w:rsid w:val="13F52854"/>
    <w:rsid w:val="16151DCE"/>
    <w:rsid w:val="179E7A8C"/>
    <w:rsid w:val="187C3A22"/>
    <w:rsid w:val="19E11A4C"/>
    <w:rsid w:val="1BEA0FB0"/>
    <w:rsid w:val="1FE73A06"/>
    <w:rsid w:val="208E160B"/>
    <w:rsid w:val="22DF4AF7"/>
    <w:rsid w:val="25665553"/>
    <w:rsid w:val="26F52506"/>
    <w:rsid w:val="2A0C3112"/>
    <w:rsid w:val="2B6F2333"/>
    <w:rsid w:val="2BB533C1"/>
    <w:rsid w:val="2C2B0BC8"/>
    <w:rsid w:val="2C417C31"/>
    <w:rsid w:val="2D9B2143"/>
    <w:rsid w:val="31B14272"/>
    <w:rsid w:val="355D47B7"/>
    <w:rsid w:val="36AF4448"/>
    <w:rsid w:val="391B70C6"/>
    <w:rsid w:val="39921607"/>
    <w:rsid w:val="41410283"/>
    <w:rsid w:val="42F11952"/>
    <w:rsid w:val="43FA6E4E"/>
    <w:rsid w:val="44942A12"/>
    <w:rsid w:val="44E7272E"/>
    <w:rsid w:val="468762A1"/>
    <w:rsid w:val="49460157"/>
    <w:rsid w:val="5375086E"/>
    <w:rsid w:val="550D2DBE"/>
    <w:rsid w:val="557650C0"/>
    <w:rsid w:val="57897AEF"/>
    <w:rsid w:val="59A076B8"/>
    <w:rsid w:val="5DA652F6"/>
    <w:rsid w:val="6016488F"/>
    <w:rsid w:val="61050B4B"/>
    <w:rsid w:val="62067C5F"/>
    <w:rsid w:val="6424780A"/>
    <w:rsid w:val="673E766B"/>
    <w:rsid w:val="67C566F4"/>
    <w:rsid w:val="680E60DA"/>
    <w:rsid w:val="681249ED"/>
    <w:rsid w:val="69E63EF6"/>
    <w:rsid w:val="6BD13F79"/>
    <w:rsid w:val="6E623FDB"/>
    <w:rsid w:val="6E822797"/>
    <w:rsid w:val="726E48EC"/>
    <w:rsid w:val="73FC0AB9"/>
    <w:rsid w:val="75BF4A1A"/>
    <w:rsid w:val="7C3D4464"/>
    <w:rsid w:val="7E1A1F87"/>
    <w:rsid w:val="7E7B7CBA"/>
    <w:rsid w:val="7F8F1D58"/>
    <w:rsid w:val="7FCF6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Body Text First Indent 21"/>
    <w:basedOn w:val="3"/>
    <w:qFormat/>
    <w:uiPriority w:val="0"/>
    <w:pPr>
      <w:ind w:firstLine="480"/>
    </w:pPr>
  </w:style>
  <w:style w:type="paragraph" w:customStyle="1" w:styleId="3">
    <w:name w:val="Normal Indent1"/>
    <w:basedOn w:val="1"/>
    <w:qFormat/>
    <w:uiPriority w:val="0"/>
    <w:pPr>
      <w:spacing w:line="360" w:lineRule="auto"/>
      <w:ind w:firstLine="200" w:firstLineChars="200"/>
    </w:pPr>
    <w:rPr>
      <w:rFonts w:cs="宋体"/>
      <w:sz w:val="24"/>
    </w:rPr>
  </w:style>
  <w:style w:type="paragraph" w:styleId="4">
    <w:name w:val="footer"/>
    <w:basedOn w:val="1"/>
    <w:link w:val="9"/>
    <w:semiHidden/>
    <w:unhideWhenUsed/>
    <w:qFormat/>
    <w:uiPriority w:val="99"/>
    <w:pPr>
      <w:tabs>
        <w:tab w:val="center" w:pos="4153"/>
        <w:tab w:val="right" w:pos="8306"/>
      </w:tabs>
      <w:snapToGrid w:val="0"/>
      <w:jc w:val="left"/>
    </w:pPr>
    <w:rPr>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semiHidden/>
    <w:qFormat/>
    <w:uiPriority w:val="99"/>
    <w:rPr>
      <w:rFonts w:ascii="Times New Roman" w:hAnsi="Times New Roman" w:eastAsia="宋体" w:cs="Times New Roman"/>
      <w:sz w:val="18"/>
      <w:szCs w:val="18"/>
    </w:rPr>
  </w:style>
  <w:style w:type="character" w:customStyle="1" w:styleId="9">
    <w:name w:val="页脚 字符"/>
    <w:basedOn w:val="7"/>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14</Pages>
  <Words>6463</Words>
  <Characters>6679</Characters>
  <Lines>50</Lines>
  <Paragraphs>14</Paragraphs>
  <TotalTime>33</TotalTime>
  <ScaleCrop>false</ScaleCrop>
  <LinksUpToDate>false</LinksUpToDate>
  <CharactersWithSpaces>6691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包黑小王纸最爱小公举</cp:lastModifiedBy>
  <cp:lastPrinted>2018-10-25T02:57:00Z</cp:lastPrinted>
  <dcterms:modified xsi:type="dcterms:W3CDTF">2023-07-03T08:20:41Z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0CCA3D8202E3434B8EFEE213029C9EA9_12</vt:lpwstr>
  </property>
</Properties>
</file>