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0.532368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0.532368</w:t>
      </w:r>
      <w:r>
        <w:rPr>
          <w:rFonts w:hint="eastAsia" w:ascii="仿宋_GB2312" w:hAnsi="仿宋_GB2312" w:eastAsia="仿宋_GB2312"/>
          <w:sz w:val="32"/>
          <w:szCs w:val="32"/>
        </w:rPr>
        <w:t>万元。主要用于开展乡镇团组织相关活动经费开支。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（1）经济效益指标：发挥团员先锋模范作用，发展共青团的青年力量。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（3）社会效益：发挥团员先锋模范作用，发展共青团的青年力量。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（1）环境可持续影响为长期，发挥团员先锋模范作用，发展共青团的青年力量。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（2）经济、社会的可持续影响为长期，发挥团员先锋模范作用，发展共青团的青年力量。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2D60AB9"/>
    <w:rsid w:val="39921607"/>
    <w:rsid w:val="468762A1"/>
    <w:rsid w:val="4FC92177"/>
    <w:rsid w:val="5375086E"/>
    <w:rsid w:val="60A04667"/>
    <w:rsid w:val="78C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200</Words>
  <Characters>1143</Characters>
  <Lines>9</Lines>
  <Paragraphs>2</Paragraphs>
  <TotalTime>0</TotalTime>
  <ScaleCrop>false</ScaleCrop>
  <LinksUpToDate>false</LinksUpToDate>
  <CharactersWithSpaces>1341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2023-06-06T08:53:51Z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0FBDFD25FA1F49449D59E7A2E9DE2D5A</vt:lpwstr>
  </property>
</Properties>
</file>