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</w:t>
      </w:r>
      <w:r>
        <w:rPr>
          <w:rFonts w:hint="eastAsia" w:ascii="仿宋_GB2312" w:hAnsi="仿宋_GB2312" w:eastAsia="仿宋_GB2312"/>
          <w:sz w:val="32"/>
        </w:rPr>
        <w:t>党政综合办公室</w:t>
      </w:r>
      <w:r>
        <w:rPr>
          <w:rFonts w:hint="eastAsia" w:ascii="仿宋_GB2312" w:hAnsi="仿宋_GB2312" w:eastAsia="仿宋_GB2312"/>
          <w:sz w:val="32"/>
          <w:lang w:eastAsia="zh-CN"/>
        </w:rPr>
        <w:t>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</w:t>
      </w:r>
      <w:r>
        <w:rPr>
          <w:rFonts w:hint="eastAsia" w:ascii="仿宋_GB2312" w:eastAsia="仿宋_GB2312"/>
          <w:sz w:val="32"/>
          <w:szCs w:val="32"/>
        </w:rPr>
        <w:t>有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4个村委会，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 xml:space="preserve">个社区。桂头镇政府共有行政编制66名，退休人员26人。桂头镇政府共有事业编制28名，退休人员5人。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经济效益指标：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设立政协乡镇联络工作委员会工作室，更高效、便捷的开展乡镇工作。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政治效益：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积极响应国家号召，落实国家政策，协助党委、政府做好乡镇干部及群众的思路政治工作，化解矛盾、协调关系、维护社会稳定，更好的建设新时代文明乡村。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（3）社会效益：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维护社会安全及稳定。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积极响应国家政策，提高群众政治素养，建设美丽乡村。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协助党委、政府做好乡镇干部及群众的思路政治工作，化解矛盾、协调关系、维护社会稳定，更好的建设新时代文明乡村。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F6314"/>
    <w:multiLevelType w:val="singleLevel"/>
    <w:tmpl w:val="789F631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00E5C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1C037F47"/>
    <w:rsid w:val="1F4D45A8"/>
    <w:rsid w:val="210F3E4B"/>
    <w:rsid w:val="2A0C3112"/>
    <w:rsid w:val="33080B40"/>
    <w:rsid w:val="39921607"/>
    <w:rsid w:val="3ED27466"/>
    <w:rsid w:val="468762A1"/>
    <w:rsid w:val="4940198D"/>
    <w:rsid w:val="4C4632D6"/>
    <w:rsid w:val="5375086E"/>
    <w:rsid w:val="66B5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1487</Words>
  <Characters>1500</Characters>
  <Lines>10</Lines>
  <Paragraphs>2</Paragraphs>
  <TotalTime>6</TotalTime>
  <ScaleCrop>false</ScaleCrop>
  <LinksUpToDate>false</LinksUpToDate>
  <CharactersWithSpaces>1503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2023-06-07T01:23:15Z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80F3058321484073ABD0AC1608ECADAB</vt:lpwstr>
  </property>
</Properties>
</file>