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基层人民调解工作经费绩效自评报告</w:t>
      </w:r>
    </w:p>
    <w:p>
      <w:pPr>
        <w:rPr>
          <w:rFonts w:ascii="仿宋_GB2312" w:eastAsia="仿宋_GB2312"/>
          <w:sz w:val="44"/>
          <w:szCs w:val="44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粤司办【2018】182号，广东省司法厅关于印发《省民生实事人民调解专项资金管理使用规范指》的通知；县级司法局行政部门按照国家人力资源和社会保障相关政策，以“公平、公开、竞争、择优”为原则，根据当地人口，为每个乡镇（街道）人民调解委员会配备2名以上专职人民调解，聘用期原则上不少于一年；保障基层人民调解机构办公费用；保障基层人民调解机构以案定补费用。</w:t>
      </w:r>
    </w:p>
    <w:p>
      <w:pPr>
        <w:spacing w:line="360" w:lineRule="auto"/>
        <w:ind w:firstLine="320" w:firstLineChars="1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tabs>
          <w:tab w:val="center" w:pos="4153"/>
        </w:tabs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（一）自评等级和分数。</w:t>
      </w:r>
    </w:p>
    <w:p>
      <w:pPr>
        <w:tabs>
          <w:tab w:val="center" w:pos="4153"/>
        </w:tabs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自评等级优，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tabs>
          <w:tab w:val="center" w:pos="4153"/>
        </w:tabs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（二）项目立项时前期准备情况。</w:t>
      </w:r>
    </w:p>
    <w:p>
      <w:pPr>
        <w:spacing w:line="360" w:lineRule="auto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进一步加强社会矛盾纠纷排查调处工作，积极协助开展“扫黑除恶”专项斗争。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省级财政落实1名乡镇（街道）专职人民调解员经费，不得以专项资金替代本地以安排或落实的聘请专职人民调解员经费。</w:t>
      </w:r>
      <w:r>
        <w:rPr>
          <w:rFonts w:hint="eastAsia" w:ascii="仿宋" w:hAnsi="仿宋" w:eastAsia="仿宋" w:cs="仿宋"/>
          <w:sz w:val="32"/>
          <w:szCs w:val="32"/>
        </w:rPr>
        <w:t>进一步加强社会矛盾纠纷排查调处工作，为各镇人民调解委员会配备了两名专职人民调解员，出台并落实人民调解案件以案定补规定，调动了各级人民调解组织的积极性，切实筑牢维稳第一道防线。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（三）专项资金使用绩效。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1.专项资金支出情况。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eastAsia="zh-CN" w:bidi="ar"/>
        </w:rPr>
        <w:t>2021年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bidi="ar"/>
        </w:rPr>
        <w:t>县</w:t>
      </w:r>
      <w:r>
        <w:rPr>
          <w:rFonts w:hint="eastAsia" w:ascii="仿宋_GB2312" w:eastAsia="仿宋_GB2312"/>
          <w:sz w:val="32"/>
          <w:szCs w:val="32"/>
        </w:rPr>
        <w:t>级人民调解专项资金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0000元，其中:截止</w:t>
      </w:r>
      <w:r>
        <w:rPr>
          <w:rFonts w:hint="eastAsia" w:ascii="仿宋_GB2312" w:eastAsia="仿宋_GB2312"/>
          <w:sz w:val="32"/>
          <w:szCs w:val="32"/>
          <w:lang w:eastAsia="zh-CN"/>
        </w:rPr>
        <w:t>2021年</w:t>
      </w:r>
      <w:r>
        <w:rPr>
          <w:rFonts w:hint="eastAsia" w:ascii="仿宋_GB2312" w:eastAsia="仿宋_GB2312"/>
          <w:sz w:val="32"/>
          <w:szCs w:val="32"/>
        </w:rPr>
        <w:t>12月份，</w:t>
      </w:r>
      <w:r>
        <w:rPr>
          <w:rFonts w:hint="eastAsia" w:ascii="仿宋_GB2312" w:eastAsia="仿宋_GB2312"/>
          <w:sz w:val="32"/>
          <w:szCs w:val="32"/>
          <w:lang w:eastAsia="zh-CN"/>
        </w:rPr>
        <w:t>已支出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70000元，</w:t>
      </w:r>
      <w:r>
        <w:rPr>
          <w:rFonts w:hint="eastAsia" w:ascii="仿宋_GB2312" w:eastAsia="仿宋_GB2312"/>
          <w:sz w:val="32"/>
          <w:szCs w:val="32"/>
        </w:rPr>
        <w:t>支出进度为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专项资金完成绩效目标情况。</w:t>
      </w:r>
    </w:p>
    <w:p>
      <w:pPr>
        <w:autoSpaceDE w:val="0"/>
        <w:spacing w:line="62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2021年</w:t>
      </w:r>
      <w:r>
        <w:rPr>
          <w:rStyle w:val="8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全年，人民调解以案定补案件数共计342件，补贴</w:t>
      </w:r>
      <w:r>
        <w:rPr>
          <w:rStyle w:val="8"/>
          <w:rFonts w:hint="eastAsia" w:ascii="仿宋" w:hAnsi="仿宋" w:eastAsia="仿宋" w:cs="仿宋"/>
          <w:color w:val="000000"/>
          <w:kern w:val="0"/>
          <w:sz w:val="32"/>
          <w:szCs w:val="32"/>
        </w:rPr>
        <w:t>金额共计100248元,其中，一类案件19件，二类案件56件，三类案件114件，四类案件153件。</w:t>
      </w:r>
      <w:r>
        <w:rPr>
          <w:rFonts w:hint="eastAsia" w:ascii="仿宋" w:hAnsi="仿宋" w:eastAsia="仿宋" w:cs="仿宋"/>
          <w:sz w:val="32"/>
          <w:szCs w:val="32"/>
        </w:rPr>
        <w:t>进一步加强社会矛盾纠纷排查调处工作，切实筑牢维稳第一道防线。</w:t>
      </w:r>
      <w:r>
        <w:rPr>
          <w:rStyle w:val="8"/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2021年</w:t>
      </w:r>
      <w:r>
        <w:rPr>
          <w:rStyle w:val="8"/>
          <w:rFonts w:hint="eastAsia" w:ascii="仿宋" w:hAnsi="仿宋" w:eastAsia="仿宋" w:cs="仿宋"/>
          <w:color w:val="000000"/>
          <w:kern w:val="0"/>
          <w:sz w:val="32"/>
          <w:szCs w:val="32"/>
        </w:rPr>
        <w:t>全年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，全县共排查调处矛盾纠纷866件，调解成功853件，调解成功率达98.50%。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项目管理情况。</w:t>
      </w:r>
    </w:p>
    <w:p>
      <w:pPr>
        <w:numPr>
          <w:ilvl w:val="0"/>
          <w:numId w:val="3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建立健全“以案定补”制度。</w:t>
      </w:r>
    </w:p>
    <w:p>
      <w:pPr>
        <w:numPr>
          <w:ilvl w:val="0"/>
          <w:numId w:val="3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适用对象：为在司法行政部门依法统计在册的乡镇(街道）、村（居民）人民调解员。</w:t>
      </w:r>
    </w:p>
    <w:p>
      <w:pPr>
        <w:numPr>
          <w:ilvl w:val="0"/>
          <w:numId w:val="3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建立一案一补、专款专补、专补专用、分类发放原则。</w:t>
      </w:r>
    </w:p>
    <w:p>
      <w:pPr>
        <w:numPr>
          <w:ilvl w:val="0"/>
          <w:numId w:val="3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建立“人民调解案件等级认定制”。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存在的问题。</w:t>
      </w:r>
    </w:p>
    <w:p>
      <w:pPr>
        <w:spacing w:line="360" w:lineRule="auto"/>
        <w:ind w:left="420" w:left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案件统计缓慢，申领手续不完备、调解卷宗制作不规范等。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针对存在的问题提出完善意见：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继续做好矛盾纠纷排查，探索人民调解工作的新思路、新方法。</w:t>
      </w:r>
    </w:p>
    <w:p>
      <w:pPr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乳源瑶族自治县司法局</w:t>
      </w:r>
    </w:p>
    <w:p>
      <w:pPr>
        <w:spacing w:line="360" w:lineRule="auto"/>
        <w:ind w:right="32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202年3月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p>
      <w:pPr>
        <w:spacing w:line="360" w:lineRule="auto"/>
        <w:ind w:firstLine="420" w:firstLineChars="200"/>
      </w:pP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E4550"/>
    <w:multiLevelType w:val="singleLevel"/>
    <w:tmpl w:val="DA5E455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3481564"/>
    <w:multiLevelType w:val="singleLevel"/>
    <w:tmpl w:val="E348156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C944F96"/>
    <w:multiLevelType w:val="singleLevel"/>
    <w:tmpl w:val="5C944F96"/>
    <w:lvl w:ilvl="0" w:tentative="0">
      <w:start w:val="4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2D0EF1"/>
    <w:rsid w:val="003B25CA"/>
    <w:rsid w:val="004903E7"/>
    <w:rsid w:val="00493FC8"/>
    <w:rsid w:val="00534213"/>
    <w:rsid w:val="005869EF"/>
    <w:rsid w:val="006E2527"/>
    <w:rsid w:val="006F6EA7"/>
    <w:rsid w:val="0087074D"/>
    <w:rsid w:val="00916C35"/>
    <w:rsid w:val="009C14D0"/>
    <w:rsid w:val="00AB1D83"/>
    <w:rsid w:val="00E409B6"/>
    <w:rsid w:val="00EE444F"/>
    <w:rsid w:val="00F22CA7"/>
    <w:rsid w:val="02452250"/>
    <w:rsid w:val="10FF726F"/>
    <w:rsid w:val="1B7D305B"/>
    <w:rsid w:val="1BEA0FB0"/>
    <w:rsid w:val="2A0C3112"/>
    <w:rsid w:val="43B2588F"/>
    <w:rsid w:val="45E91573"/>
    <w:rsid w:val="468762A1"/>
    <w:rsid w:val="4A2D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bjh-p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149</Words>
  <Characters>850</Characters>
  <Lines>7</Lines>
  <Paragraphs>1</Paragraphs>
  <TotalTime>0</TotalTime>
  <ScaleCrop>false</ScaleCrop>
  <LinksUpToDate>false</LinksUpToDate>
  <CharactersWithSpaces>998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lenovo</cp:lastModifiedBy>
  <cp:lastPrinted>2018-10-25T02:57:00Z</cp:lastPrinted>
  <dcterms:modified xsi:type="dcterms:W3CDTF">2022-11-02T08:45:36Z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