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highlight w:val="none"/>
        </w:rPr>
      </w:pPr>
      <w:r>
        <w:rPr>
          <w:rFonts w:hint="eastAsia" w:ascii="黑体" w:hAnsi="黑体" w:eastAsia="黑体"/>
          <w:color w:val="000000"/>
          <w:sz w:val="32"/>
          <w:highlight w:val="none"/>
        </w:rPr>
        <w:t>附件</w:t>
      </w:r>
    </w:p>
    <w:p>
      <w:pPr>
        <w:jc w:val="center"/>
        <w:rPr>
          <w:rFonts w:hint="eastAsia" w:ascii="宋体" w:hAnsi="宋体"/>
          <w:b/>
          <w:sz w:val="36"/>
          <w:szCs w:val="36"/>
          <w:highlight w:val="none"/>
        </w:rPr>
      </w:pPr>
      <w:r>
        <w:rPr>
          <w:rFonts w:hint="eastAsia" w:ascii="宋体" w:hAnsi="宋体"/>
          <w:b/>
          <w:sz w:val="36"/>
          <w:szCs w:val="36"/>
          <w:highlight w:val="none"/>
        </w:rPr>
        <w:t>乳源瑶族自治县</w:t>
      </w:r>
      <w:r>
        <w:rPr>
          <w:rFonts w:hint="eastAsia" w:ascii="宋体" w:hAnsi="宋体"/>
          <w:b/>
          <w:sz w:val="36"/>
          <w:szCs w:val="36"/>
          <w:highlight w:val="none"/>
          <w:lang w:val="en-US" w:eastAsia="zh-CN"/>
        </w:rPr>
        <w:t>其余人口婚检</w:t>
      </w:r>
      <w:r>
        <w:rPr>
          <w:rFonts w:hint="eastAsia" w:ascii="宋体" w:hAnsi="宋体"/>
          <w:b/>
          <w:sz w:val="36"/>
          <w:szCs w:val="36"/>
          <w:highlight w:val="none"/>
        </w:rPr>
        <w:t>项目资金</w:t>
      </w:r>
    </w:p>
    <w:p>
      <w:pPr>
        <w:spacing w:line="360" w:lineRule="auto"/>
        <w:ind w:firstLine="723" w:firstLineChars="200"/>
        <w:jc w:val="center"/>
        <w:rPr>
          <w:rFonts w:hint="eastAsia" w:ascii="宋体" w:hAnsi="宋体"/>
          <w:b/>
          <w:sz w:val="36"/>
          <w:szCs w:val="36"/>
          <w:highlight w:val="none"/>
        </w:rPr>
      </w:pPr>
      <w:r>
        <w:rPr>
          <w:rFonts w:hint="eastAsia" w:ascii="宋体" w:hAnsi="宋体"/>
          <w:b/>
          <w:sz w:val="36"/>
          <w:szCs w:val="36"/>
          <w:highlight w:val="none"/>
        </w:rPr>
        <w:t>财政支出绩效评价报告</w:t>
      </w:r>
    </w:p>
    <w:p>
      <w:pPr>
        <w:spacing w:line="360" w:lineRule="auto"/>
        <w:ind w:firstLine="723" w:firstLineChars="200"/>
        <w:rPr>
          <w:rFonts w:hint="eastAsia" w:ascii="宋体" w:hAnsi="宋体"/>
          <w:b/>
          <w:sz w:val="36"/>
          <w:szCs w:val="36"/>
          <w:highlight w:val="none"/>
        </w:rPr>
      </w:pP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一、项目基本情况及自评结论</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（一）项目用款单位简要情况。</w:t>
      </w:r>
    </w:p>
    <w:p>
      <w:pPr>
        <w:spacing w:line="360" w:lineRule="auto"/>
        <w:ind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rPr>
        <w:t>乳源瑶族自治县妇幼保健院始建于1963年，从妇幼保健站到妇幼保健所，到1998年更名为妇幼保健院，2015年整合成立妇幼保健计划生育服务中心，2019年8月妇幼保健院与计生服务站正式人员合并，现已成为了集保健、医疗、教学、科研为一体的公益一类妇幼保健机构。目前我院持有编制140名，现有人员237人，其中在编在岗人员127人，退休职工21 人，临聘人员 89人。医院占地面积9423.7平方米，建筑面积7518.7平方米，业务用房6918.7平方米，开放床位90张。设有妇女保健科、儿童保健科、妇科、产科、儿科、中医科、医学影像科、检验科、药剂科等临床医技及辅助科室1</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个，充分体现以妇女儿童为中心，保健与临床有机结合的特色。</w:t>
      </w:r>
      <w:r>
        <w:rPr>
          <w:rFonts w:hint="eastAsia" w:ascii="仿宋_GB2312" w:eastAsia="仿宋_GB2312"/>
          <w:sz w:val="32"/>
          <w:szCs w:val="32"/>
          <w:highlight w:val="none"/>
          <w:lang w:val="en-US" w:eastAsia="zh-CN"/>
        </w:rPr>
        <w:t>我院开展免费婚前检查服务项目，根据项目管理方案，该项目定额补助为120元/人。</w:t>
      </w:r>
    </w:p>
    <w:p>
      <w:pPr>
        <w:numPr>
          <w:ilvl w:val="0"/>
          <w:numId w:val="1"/>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项目实施主要内容及实施程序。</w:t>
      </w:r>
    </w:p>
    <w:p>
      <w:pPr>
        <w:numPr>
          <w:ilvl w:val="0"/>
          <w:numId w:val="0"/>
        </w:numPr>
        <w:spacing w:line="360" w:lineRule="auto"/>
        <w:ind w:left="0" w:leftChars="0"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免费提供体检项目：</w:t>
      </w:r>
      <w:r>
        <w:rPr>
          <w:rFonts w:hint="eastAsia" w:ascii="仿宋_GB2312" w:eastAsia="仿宋_GB2312"/>
          <w:sz w:val="32"/>
          <w:szCs w:val="32"/>
          <w:highlight w:val="none"/>
        </w:rPr>
        <w:t>身高体重等常规检查</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血常规检查</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尿液检查</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询问家庭史</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ABO血型检查</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各种传染性疾病排查</w:t>
      </w:r>
      <w:r>
        <w:rPr>
          <w:rFonts w:hint="eastAsia" w:ascii="仿宋_GB2312" w:eastAsia="仿宋_GB2312"/>
          <w:sz w:val="32"/>
          <w:szCs w:val="32"/>
          <w:highlight w:val="none"/>
          <w:lang w:eastAsia="zh-CN"/>
        </w:rPr>
        <w:t>。</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自愿的原则。坚持婚前医学检查自愿的原则。通过深入宣传，倡导科学婚检理念，引导婚姻登记当事人接受婚前保健服务。通过婚前卫生咨询、婚前卫生指导和婚前医学检查等方式，让婚姻登记当事人了解优生优育知识和自身是否存在影响婚育的疾病，以避免各种影响结婚和生育的危险因素，有效降低出生缺陷的发生。</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基本项目免费的原则。婚前医学检查实行基本项目免费的原则。特需检查项目，由受检人根据自身情况和医师建议自主选择，费用由受检人自行承担。</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服务的原则。按照市政府统一规定的内容，热情接受咨询，严格进行检查，区妇幼保健院提供周到、优质的服务。</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方便群众的原则。按照相关政策规定，尽可能简化流程，方便婚姻登记当事人接受婚前医学检查。区民政局在区妇幼保健院设立婚姻登记初审窗口，引导服务对象就近接受婚前保健服务。</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保密的原则。维护婚检当事人合法权益，区民政局、区卫生局要充分尊重个人隐私及知情权，除法律法规另有规定外，不得向第三方泄露婚检当事人的检查结果。</w:t>
      </w:r>
    </w:p>
    <w:p>
      <w:pPr>
        <w:numPr>
          <w:ilvl w:val="0"/>
          <w:numId w:val="1"/>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综</w:t>
      </w:r>
      <w:r>
        <w:rPr>
          <w:rFonts w:hint="eastAsia" w:ascii="仿宋_GB2312" w:eastAsia="仿宋_GB2312"/>
          <w:sz w:val="32"/>
          <w:szCs w:val="32"/>
          <w:highlight w:val="none"/>
        </w:rPr>
        <w:t>述项目自评等级和分数，并对照佐证材料逐一分析。</w:t>
      </w:r>
    </w:p>
    <w:p>
      <w:pPr>
        <w:numPr>
          <w:ilvl w:val="0"/>
          <w:numId w:val="0"/>
        </w:numPr>
        <w:spacing w:line="360" w:lineRule="auto"/>
        <w:ind w:left="0" w:leftChars="0"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自项目开展，该项目得到了广大人民群众支持。根据项目的实施情况，综合评分91分。</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二、绩效表现</w:t>
      </w:r>
    </w:p>
    <w:p>
      <w:pPr>
        <w:spacing w:line="360" w:lineRule="auto"/>
        <w:ind w:firstLine="640" w:firstLineChars="200"/>
        <w:rPr>
          <w:rFonts w:ascii="仿宋_GB2312" w:eastAsia="仿宋_GB2312"/>
          <w:sz w:val="32"/>
          <w:szCs w:val="32"/>
          <w:highlight w:val="none"/>
        </w:rPr>
      </w:pPr>
      <w:r>
        <w:rPr>
          <w:rFonts w:hint="eastAsia" w:ascii="仿宋_GB2312" w:eastAsia="仿宋_GB2312"/>
          <w:sz w:val="32"/>
          <w:szCs w:val="32"/>
          <w:highlight w:val="none"/>
        </w:rPr>
        <w:t>（一）资金使用绩效。</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1、项目资金实际总投入情况。</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项目资金预算安排资金</w:t>
      </w:r>
      <w:r>
        <w:rPr>
          <w:rFonts w:hint="eastAsia" w:ascii="仿宋_GB2312" w:hAnsi="仿宋_GB2312" w:eastAsia="仿宋_GB2312"/>
          <w:sz w:val="32"/>
          <w:szCs w:val="32"/>
          <w:highlight w:val="none"/>
          <w:lang w:val="en-US" w:eastAsia="zh-CN"/>
        </w:rPr>
        <w:t>100000</w:t>
      </w:r>
      <w:r>
        <w:rPr>
          <w:rFonts w:hint="eastAsia" w:ascii="仿宋_GB2312" w:hAnsi="仿宋_GB2312" w:eastAsia="仿宋_GB2312"/>
          <w:sz w:val="32"/>
          <w:szCs w:val="32"/>
          <w:highlight w:val="none"/>
        </w:rPr>
        <w:t>元。202</w:t>
      </w:r>
      <w:r>
        <w:rPr>
          <w:rFonts w:hint="eastAsia" w:ascii="仿宋_GB2312" w:hAnsi="仿宋_GB2312" w:eastAsia="仿宋_GB2312"/>
          <w:sz w:val="32"/>
          <w:szCs w:val="32"/>
          <w:highlight w:val="none"/>
          <w:lang w:val="en-US" w:eastAsia="zh-CN"/>
        </w:rPr>
        <w:t>1</w:t>
      </w:r>
      <w:r>
        <w:rPr>
          <w:rFonts w:hint="eastAsia" w:ascii="仿宋_GB2312" w:hAnsi="仿宋_GB2312" w:eastAsia="仿宋_GB2312"/>
          <w:sz w:val="32"/>
          <w:szCs w:val="32"/>
          <w:highlight w:val="none"/>
        </w:rPr>
        <w:t>年项目资金申请</w:t>
      </w:r>
      <w:r>
        <w:rPr>
          <w:rFonts w:hint="eastAsia" w:ascii="仿宋_GB2312" w:hAnsi="仿宋_GB2312" w:eastAsia="仿宋_GB2312"/>
          <w:sz w:val="32"/>
          <w:szCs w:val="32"/>
          <w:highlight w:val="none"/>
          <w:lang w:val="en-US" w:eastAsia="zh-CN"/>
        </w:rPr>
        <w:t>100000</w:t>
      </w:r>
      <w:r>
        <w:rPr>
          <w:rFonts w:hint="eastAsia" w:ascii="仿宋_GB2312" w:hAnsi="仿宋_GB2312" w:eastAsia="仿宋_GB2312"/>
          <w:sz w:val="32"/>
          <w:szCs w:val="32"/>
          <w:highlight w:val="none"/>
        </w:rPr>
        <w:t>元，财政拨付资金</w:t>
      </w:r>
      <w:r>
        <w:rPr>
          <w:rFonts w:hint="eastAsia" w:ascii="仿宋_GB2312" w:hAnsi="仿宋_GB2312" w:eastAsia="仿宋_GB2312"/>
          <w:sz w:val="32"/>
          <w:szCs w:val="32"/>
          <w:highlight w:val="none"/>
          <w:lang w:val="en-US" w:eastAsia="zh-CN"/>
        </w:rPr>
        <w:t>100000</w:t>
      </w:r>
      <w:r>
        <w:rPr>
          <w:rFonts w:hint="eastAsia" w:ascii="仿宋_GB2312" w:hAnsi="仿宋_GB2312" w:eastAsia="仿宋_GB2312"/>
          <w:sz w:val="32"/>
          <w:szCs w:val="32"/>
          <w:highlight w:val="none"/>
        </w:rPr>
        <w:t>元，资金拨付率100%。</w:t>
      </w:r>
    </w:p>
    <w:p>
      <w:pPr>
        <w:numPr>
          <w:ilvl w:val="0"/>
          <w:numId w:val="2"/>
        </w:num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项目资金实际支出情况，具体详细说明。</w:t>
      </w:r>
    </w:p>
    <w:p>
      <w:pPr>
        <w:numPr>
          <w:ilvl w:val="0"/>
          <w:numId w:val="0"/>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项目实际支出</w:t>
      </w:r>
      <w:r>
        <w:rPr>
          <w:rFonts w:hint="eastAsia" w:ascii="仿宋_GB2312" w:hAnsi="仿宋_GB2312" w:eastAsia="仿宋_GB2312"/>
          <w:sz w:val="32"/>
          <w:szCs w:val="32"/>
          <w:highlight w:val="none"/>
          <w:lang w:val="en-US" w:eastAsia="zh-CN"/>
        </w:rPr>
        <w:t>100000</w:t>
      </w:r>
      <w:r>
        <w:rPr>
          <w:rFonts w:hint="eastAsia" w:ascii="仿宋_GB2312" w:hAnsi="仿宋_GB2312" w:eastAsia="仿宋_GB2312"/>
          <w:sz w:val="32"/>
          <w:szCs w:val="32"/>
          <w:highlight w:val="none"/>
        </w:rPr>
        <w:t>元。主要用于支付项目检查中所需用到的一次性手套、帽子、棉签、酒精等卫生耗材，以及印刷宣传费，人员经费，办公耗材费等支出，资金使用率100%。</w:t>
      </w:r>
    </w:p>
    <w:p>
      <w:pPr>
        <w:numPr>
          <w:ilvl w:val="0"/>
          <w:numId w:val="2"/>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项目的绩效目标</w:t>
      </w:r>
      <w:r>
        <w:rPr>
          <w:rFonts w:hint="eastAsia" w:ascii="仿宋_GB2312" w:hAnsi="仿宋_GB2312" w:eastAsia="仿宋_GB2312"/>
          <w:sz w:val="32"/>
          <w:szCs w:val="32"/>
          <w:highlight w:val="none"/>
          <w:lang w:val="en-US" w:eastAsia="zh-CN"/>
        </w:rPr>
        <w:t>完成情况</w:t>
      </w:r>
      <w:r>
        <w:rPr>
          <w:rFonts w:hint="eastAsia" w:ascii="仿宋_GB2312" w:hAnsi="仿宋_GB2312" w:eastAsia="仿宋_GB2312"/>
          <w:sz w:val="32"/>
          <w:szCs w:val="32"/>
          <w:highlight w:val="none"/>
        </w:rPr>
        <w:t>（经济、政治和社会效益）。</w:t>
      </w:r>
    </w:p>
    <w:p>
      <w:pPr>
        <w:numPr>
          <w:ilvl w:val="0"/>
          <w:numId w:val="0"/>
        </w:numPr>
        <w:spacing w:line="360" w:lineRule="auto"/>
        <w:ind w:left="0" w:leftChars="0"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通过宣传等手段，完成其余人口婚检1236人次，到2021年年底我县婚检婚登率高达95%以上，较以往的婚检婚登率大大提升。</w:t>
      </w:r>
    </w:p>
    <w:p>
      <w:pPr>
        <w:numPr>
          <w:ilvl w:val="0"/>
          <w:numId w:val="2"/>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项目资金使用效益，对环境、经济、社会的可持续影响。</w:t>
      </w:r>
    </w:p>
    <w:p>
      <w:pPr>
        <w:numPr>
          <w:ilvl w:val="0"/>
          <w:numId w:val="0"/>
        </w:numPr>
        <w:spacing w:line="360" w:lineRule="auto"/>
        <w:ind w:left="0" w:leftChars="0"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该项目的开展，减轻了受检群众的经济负担，从而减少受检人群因经济压力而不愿检查的现象。降低缺陷儿的出生率，提高我县人口素质。</w:t>
      </w:r>
    </w:p>
    <w:p>
      <w:pPr>
        <w:numPr>
          <w:ilvl w:val="0"/>
          <w:numId w:val="3"/>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存在问题。</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、此项目非强制性项目。</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2、群众婚检自愿程度还不高。</w:t>
      </w:r>
    </w:p>
    <w:p>
      <w:pPr>
        <w:spacing w:line="360" w:lineRule="auto"/>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3、随着物价、利率的提高，改项目收费仍为120元/人，与我院开展此项目实际成本有出入。低额的补助金额，无法弥补我院在该项目上的成本，给我院带来了一定的经济负担。</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三、改进意见</w:t>
      </w:r>
    </w:p>
    <w:p>
      <w:pPr>
        <w:spacing w:line="360" w:lineRule="auto"/>
        <w:ind w:firstLine="640" w:firstLineChars="200"/>
        <w:rPr>
          <w:rFonts w:hint="eastAsia" w:ascii="仿宋_GB2312" w:eastAsia="仿宋_GB2312"/>
          <w:sz w:val="32"/>
          <w:szCs w:val="32"/>
          <w:highlight w:val="none"/>
        </w:rPr>
      </w:pPr>
      <w:bookmarkStart w:id="0" w:name="_GoBack"/>
      <w:bookmarkEnd w:id="0"/>
      <w:r>
        <w:rPr>
          <w:rFonts w:hint="eastAsia" w:ascii="仿宋_GB2312" w:eastAsia="仿宋_GB2312"/>
          <w:sz w:val="32"/>
          <w:szCs w:val="32"/>
          <w:highlight w:val="none"/>
        </w:rPr>
        <w:t>一是提高认识，加强领导管理；二是明确职责，密切部门衔接；三是完善制度，规范操作程序。</w:t>
      </w:r>
    </w:p>
    <w:p>
      <w:pPr>
        <w:numPr>
          <w:ilvl w:val="0"/>
          <w:numId w:val="4"/>
        </w:numPr>
        <w:spacing w:line="360" w:lineRule="auto"/>
        <w:ind w:firstLine="640" w:firstLineChars="200"/>
        <w:rPr>
          <w:rFonts w:hint="eastAsia" w:ascii="黑体" w:eastAsia="黑体"/>
          <w:sz w:val="32"/>
          <w:szCs w:val="32"/>
          <w:highlight w:val="none"/>
          <w:lang w:val="en-US" w:eastAsia="zh-CN"/>
        </w:rPr>
      </w:pPr>
      <w:r>
        <w:rPr>
          <w:rFonts w:hint="eastAsia" w:ascii="黑体" w:eastAsia="黑体"/>
          <w:sz w:val="32"/>
          <w:szCs w:val="32"/>
          <w:highlight w:val="none"/>
          <w:lang w:val="en-US" w:eastAsia="zh-CN"/>
        </w:rPr>
        <w:t>其他需要说明的情况</w:t>
      </w:r>
    </w:p>
    <w:p>
      <w:pPr>
        <w:spacing w:line="360" w:lineRule="auto"/>
        <w:ind w:firstLine="640" w:firstLineChars="200"/>
        <w:rPr>
          <w:rFonts w:hint="eastAsia" w:ascii="仿宋_GB2312" w:eastAsia="仿宋_GB2312"/>
          <w:sz w:val="32"/>
          <w:szCs w:val="32"/>
          <w:highlight w:val="none"/>
        </w:rPr>
      </w:pPr>
    </w:p>
    <w:p>
      <w:pPr>
        <w:widowControl w:val="0"/>
        <w:numPr>
          <w:ilvl w:val="0"/>
          <w:numId w:val="0"/>
        </w:numPr>
        <w:jc w:val="right"/>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乳源瑶族自治县妇幼保健院</w:t>
      </w:r>
    </w:p>
    <w:p>
      <w:pPr>
        <w:widowControl w:val="0"/>
        <w:numPr>
          <w:ilvl w:val="0"/>
          <w:numId w:val="0"/>
        </w:numPr>
        <w:jc w:val="right"/>
        <w:outlineLvl w:val="0"/>
        <w:rPr>
          <w:rFonts w:hint="eastAsia" w:ascii="仿宋_GB2312" w:eastAsia="仿宋_GB2312"/>
          <w:sz w:val="32"/>
          <w:szCs w:val="32"/>
          <w:highlight w:val="none"/>
        </w:rPr>
      </w:pPr>
      <w:r>
        <w:rPr>
          <w:rFonts w:hint="eastAsia" w:ascii="仿宋" w:hAnsi="仿宋" w:eastAsia="仿宋" w:cs="仿宋"/>
          <w:sz w:val="32"/>
          <w:szCs w:val="32"/>
          <w:lang w:val="en-US" w:eastAsia="zh-CN"/>
        </w:rPr>
        <w:t xml:space="preserve">                            2022年4月12日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1B4BCE"/>
    <w:multiLevelType w:val="singleLevel"/>
    <w:tmpl w:val="B71B4BCE"/>
    <w:lvl w:ilvl="0" w:tentative="0">
      <w:start w:val="2"/>
      <w:numFmt w:val="decimal"/>
      <w:suff w:val="nothing"/>
      <w:lvlText w:val="%1、"/>
      <w:lvlJc w:val="left"/>
    </w:lvl>
  </w:abstractNum>
  <w:abstractNum w:abstractNumId="1">
    <w:nsid w:val="C6D882EE"/>
    <w:multiLevelType w:val="singleLevel"/>
    <w:tmpl w:val="C6D882EE"/>
    <w:lvl w:ilvl="0" w:tentative="0">
      <w:start w:val="4"/>
      <w:numFmt w:val="chineseCounting"/>
      <w:suff w:val="nothing"/>
      <w:lvlText w:val="%1、"/>
      <w:lvlJc w:val="left"/>
      <w:rPr>
        <w:rFonts w:hint="eastAsia"/>
      </w:rPr>
    </w:lvl>
  </w:abstractNum>
  <w:abstractNum w:abstractNumId="2">
    <w:nsid w:val="071E815D"/>
    <w:multiLevelType w:val="singleLevel"/>
    <w:tmpl w:val="071E815D"/>
    <w:lvl w:ilvl="0" w:tentative="0">
      <w:start w:val="2"/>
      <w:numFmt w:val="chineseCounting"/>
      <w:suff w:val="nothing"/>
      <w:lvlText w:val="（%1）"/>
      <w:lvlJc w:val="left"/>
      <w:rPr>
        <w:rFonts w:hint="eastAsia"/>
      </w:rPr>
    </w:lvl>
  </w:abstractNum>
  <w:abstractNum w:abstractNumId="3">
    <w:nsid w:val="25AC190A"/>
    <w:multiLevelType w:val="singleLevel"/>
    <w:tmpl w:val="25AC190A"/>
    <w:lvl w:ilvl="0" w:tentative="0">
      <w:start w:val="2"/>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3153B"/>
    <w:rsid w:val="00182223"/>
    <w:rsid w:val="003B25CA"/>
    <w:rsid w:val="004903E7"/>
    <w:rsid w:val="00534213"/>
    <w:rsid w:val="006F6EA7"/>
    <w:rsid w:val="0087074D"/>
    <w:rsid w:val="00916C35"/>
    <w:rsid w:val="009C14D0"/>
    <w:rsid w:val="00E409B6"/>
    <w:rsid w:val="00EE444F"/>
    <w:rsid w:val="00F22CA7"/>
    <w:rsid w:val="11E70B58"/>
    <w:rsid w:val="163B4605"/>
    <w:rsid w:val="1BEA0FB0"/>
    <w:rsid w:val="1DD40D3A"/>
    <w:rsid w:val="28F95133"/>
    <w:rsid w:val="2A0C3112"/>
    <w:rsid w:val="2B5F7B0A"/>
    <w:rsid w:val="2F894E3F"/>
    <w:rsid w:val="31493CDC"/>
    <w:rsid w:val="38246A0D"/>
    <w:rsid w:val="39921607"/>
    <w:rsid w:val="3A0517B3"/>
    <w:rsid w:val="3FC72224"/>
    <w:rsid w:val="468762A1"/>
    <w:rsid w:val="47492CBE"/>
    <w:rsid w:val="4C1375A3"/>
    <w:rsid w:val="4E8D4A7A"/>
    <w:rsid w:val="5375086E"/>
    <w:rsid w:val="54DF0817"/>
    <w:rsid w:val="59B2593A"/>
    <w:rsid w:val="5B587A85"/>
    <w:rsid w:val="5C0D6C61"/>
    <w:rsid w:val="5EBE78A3"/>
    <w:rsid w:val="6C9B174C"/>
    <w:rsid w:val="79157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semiHidden/>
    <w:unhideWhenUsed/>
    <w:qFormat/>
    <w:uiPriority w:val="99"/>
    <w:pPr>
      <w:tabs>
        <w:tab w:val="center" w:pos="4153"/>
        <w:tab w:val="right" w:pos="8306"/>
      </w:tabs>
      <w:snapToGrid w:val="0"/>
      <w:jc w:val="left"/>
    </w:pPr>
    <w:rPr>
      <w:sz w:val="18"/>
      <w:szCs w:val="18"/>
    </w:rPr>
  </w:style>
  <w:style w:type="paragraph" w:styleId="3">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22"/>
    <w:rPr>
      <w:b/>
      <w:u w:val="none"/>
    </w:rPr>
  </w:style>
  <w:style w:type="character" w:styleId="8">
    <w:name w:val="FollowedHyperlink"/>
    <w:basedOn w:val="6"/>
    <w:semiHidden/>
    <w:unhideWhenUsed/>
    <w:uiPriority w:val="99"/>
    <w:rPr>
      <w:color w:val="333333"/>
      <w:u w:val="none"/>
    </w:rPr>
  </w:style>
  <w:style w:type="character" w:styleId="9">
    <w:name w:val="Emphasis"/>
    <w:basedOn w:val="6"/>
    <w:qFormat/>
    <w:uiPriority w:val="20"/>
    <w:rPr>
      <w:u w:val="none"/>
    </w:rPr>
  </w:style>
  <w:style w:type="character" w:styleId="10">
    <w:name w:val="Hyperlink"/>
    <w:basedOn w:val="6"/>
    <w:semiHidden/>
    <w:unhideWhenUsed/>
    <w:uiPriority w:val="99"/>
    <w:rPr>
      <w:color w:val="333333"/>
      <w:u w:val="none"/>
    </w:rPr>
  </w:style>
  <w:style w:type="character" w:customStyle="1" w:styleId="11">
    <w:name w:val="页眉 Char"/>
    <w:basedOn w:val="6"/>
    <w:link w:val="3"/>
    <w:semiHidden/>
    <w:qFormat/>
    <w:uiPriority w:val="99"/>
    <w:rPr>
      <w:rFonts w:ascii="Times New Roman" w:hAnsi="Times New Roman" w:eastAsia="宋体" w:cs="Times New Roman"/>
      <w:sz w:val="18"/>
      <w:szCs w:val="18"/>
    </w:rPr>
  </w:style>
  <w:style w:type="character" w:customStyle="1" w:styleId="12">
    <w:name w:val="页脚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1289</Words>
  <Characters>1370</Characters>
  <Lines>1</Lines>
  <Paragraphs>1</Paragraphs>
  <TotalTime>1</TotalTime>
  <ScaleCrop>false</ScaleCrop>
  <LinksUpToDate>false</LinksUpToDate>
  <CharactersWithSpaces>1400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zero~</cp:lastModifiedBy>
  <cp:lastPrinted>2018-10-25T02:57:00Z</cp:lastPrinted>
  <dcterms:modified xsi:type="dcterms:W3CDTF">2022-04-24T09:10:17Z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91D226B7CDE940C0BACA25A4363E9D17</vt:lpwstr>
  </property>
</Properties>
</file>