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highlight w:val="none"/>
        </w:rPr>
      </w:pPr>
      <w:r>
        <w:rPr>
          <w:rFonts w:hint="eastAsia" w:ascii="黑体" w:hAnsi="黑体" w:eastAsia="黑体"/>
          <w:color w:val="000000"/>
          <w:sz w:val="32"/>
          <w:highlight w:val="none"/>
        </w:rPr>
        <w:t>附件</w:t>
      </w:r>
    </w:p>
    <w:p>
      <w:pPr>
        <w:jc w:val="center"/>
        <w:rPr>
          <w:rFonts w:hint="default" w:ascii="宋体" w:hAnsi="宋体"/>
          <w:b/>
          <w:sz w:val="36"/>
          <w:szCs w:val="36"/>
          <w:highlight w:val="none"/>
          <w:lang w:val="en-US"/>
        </w:rPr>
      </w:pPr>
      <w:r>
        <w:rPr>
          <w:rFonts w:hint="eastAsia" w:ascii="宋体" w:hAnsi="宋体"/>
          <w:b/>
          <w:sz w:val="36"/>
          <w:szCs w:val="36"/>
          <w:highlight w:val="none"/>
        </w:rPr>
        <w:t>乳源瑶族自治县</w:t>
      </w:r>
      <w:r>
        <w:rPr>
          <w:rFonts w:hint="eastAsia" w:ascii="宋体" w:hAnsi="宋体"/>
          <w:b/>
          <w:sz w:val="36"/>
          <w:szCs w:val="36"/>
          <w:highlight w:val="none"/>
          <w:lang w:val="en-US" w:eastAsia="zh-CN"/>
        </w:rPr>
        <w:t>免费孕前优生优育健康检查</w:t>
      </w:r>
    </w:p>
    <w:p>
      <w:pPr>
        <w:spacing w:line="360" w:lineRule="auto"/>
        <w:ind w:firstLine="723" w:firstLineChars="200"/>
        <w:jc w:val="center"/>
        <w:rPr>
          <w:rFonts w:hint="eastAsia" w:ascii="宋体" w:hAnsi="宋体"/>
          <w:b/>
          <w:sz w:val="36"/>
          <w:szCs w:val="36"/>
          <w:highlight w:val="none"/>
        </w:rPr>
      </w:pPr>
      <w:r>
        <w:rPr>
          <w:rFonts w:hint="eastAsia" w:ascii="宋体" w:hAnsi="宋体"/>
          <w:b/>
          <w:sz w:val="36"/>
          <w:szCs w:val="36"/>
          <w:highlight w:val="none"/>
        </w:rPr>
        <w:t>财政支出绩效评价报告</w:t>
      </w:r>
    </w:p>
    <w:p>
      <w:pPr>
        <w:spacing w:line="360" w:lineRule="auto"/>
        <w:ind w:firstLine="723" w:firstLineChars="200"/>
        <w:jc w:val="center"/>
        <w:rPr>
          <w:rFonts w:hint="eastAsia" w:ascii="宋体" w:hAnsi="宋体"/>
          <w:b/>
          <w:sz w:val="36"/>
          <w:szCs w:val="36"/>
          <w:highlight w:val="none"/>
        </w:rPr>
      </w:pPr>
    </w:p>
    <w:p>
      <w:pPr>
        <w:spacing w:line="360" w:lineRule="auto"/>
        <w:ind w:firstLine="640" w:firstLineChars="200"/>
        <w:rPr>
          <w:rFonts w:ascii="黑体" w:eastAsia="黑体"/>
          <w:sz w:val="32"/>
          <w:szCs w:val="32"/>
          <w:highlight w:val="none"/>
        </w:rPr>
      </w:pPr>
      <w:r>
        <w:rPr>
          <w:rFonts w:hint="eastAsia" w:ascii="黑体" w:eastAsia="黑体"/>
          <w:sz w:val="32"/>
          <w:szCs w:val="32"/>
          <w:highlight w:val="none"/>
        </w:rPr>
        <w:t>一、项目基本情况及自评结论</w:t>
      </w:r>
    </w:p>
    <w:p>
      <w:pPr>
        <w:spacing w:line="360" w:lineRule="auto"/>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（一）项目用款单位简要情况。</w:t>
      </w:r>
    </w:p>
    <w:p>
      <w:pPr>
        <w:spacing w:line="360" w:lineRule="auto"/>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乳源瑶族自治县妇幼保健院始建于1963年，从妇幼保健站到妇幼保健所，到1998年更名为妇幼保健院，2015年整合成立妇幼保健计划生育服务中心，2019年8月妇幼保健院与计生服务站正式人员合并，现已成为了集保健、医疗、教学、科研为一体的公益一类妇幼保健机构。目前我院持有编制140名，现有人员237人，其中在编在岗人员127人，退休职工21 人，临聘人员 89人。医院占地面积9423.7平方米，建筑面积7518.7平方米，业务用房6918.7平方米，开放床位90张。设有妇女保健科、儿童保健科、妇科、产科、儿科、中医科、医学影像科、检验科、药剂科等临床医技及辅助科室1</w:t>
      </w:r>
      <w:r>
        <w:rPr>
          <w:rFonts w:hint="eastAsia" w:ascii="仿宋_GB2312" w:eastAsia="仿宋_GB2312"/>
          <w:sz w:val="32"/>
          <w:szCs w:val="32"/>
          <w:highlight w:val="none"/>
          <w:lang w:val="en-US" w:eastAsia="zh-CN"/>
        </w:rPr>
        <w:t>6</w:t>
      </w:r>
      <w:r>
        <w:rPr>
          <w:rFonts w:hint="eastAsia" w:ascii="仿宋_GB2312" w:eastAsia="仿宋_GB2312"/>
          <w:sz w:val="32"/>
          <w:szCs w:val="32"/>
          <w:highlight w:val="none"/>
        </w:rPr>
        <w:t>个，充分体现以妇女儿童为中心，保健与临床有机结合的特色。</w:t>
      </w:r>
    </w:p>
    <w:p>
      <w:pPr>
        <w:numPr>
          <w:ilvl w:val="0"/>
          <w:numId w:val="1"/>
        </w:numPr>
        <w:spacing w:line="360" w:lineRule="auto"/>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项目实施主要内容及实施程序。</w:t>
      </w:r>
    </w:p>
    <w:p>
      <w:pPr>
        <w:numPr>
          <w:ilvl w:val="0"/>
          <w:numId w:val="0"/>
        </w:numPr>
        <w:spacing w:line="360" w:lineRule="auto"/>
        <w:ind w:left="0" w:leftChars="0"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项目概况：根据《广东省免费孕前优生健康检查项目实施方案》（粤人口计生委〔2012〕66号）的通知要求，我县全面开展免费孕前优生健康项目，指定县妇幼保健院承担此项工作，乡镇计划生育服务机构配合县级定点服务机构开展孕前检查相关工作，承担健康教育和一般人群优生咨询指导，开展早孕随访和妊娠结局随访。村计划生育服务室协助县镇服务机构开展健康教育，做好宣传动员工作。</w:t>
      </w:r>
    </w:p>
    <w:p>
      <w:pPr>
        <w:numPr>
          <w:ilvl w:val="0"/>
          <w:numId w:val="0"/>
        </w:numPr>
        <w:spacing w:line="360" w:lineRule="auto"/>
        <w:ind w:left="0" w:leftChars="0"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项目绩效目标</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1、全面实施免费孕前检查，为全省目标人群提供免费孕前检查服务，有效降低出生缺陷发生风险，提高出生人口素质。</w:t>
      </w:r>
    </w:p>
    <w:p>
      <w:pPr>
        <w:numPr>
          <w:ilvl w:val="0"/>
          <w:numId w:val="0"/>
        </w:numPr>
        <w:spacing w:line="360" w:lineRule="auto"/>
        <w:ind w:left="0" w:leftChars="0"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2、建立“政府主导、部门协作、专家支撑、群众参与”的免费孕前优生健康检查制度体系。</w:t>
      </w:r>
    </w:p>
    <w:p>
      <w:pPr>
        <w:numPr>
          <w:ilvl w:val="0"/>
          <w:numId w:val="0"/>
        </w:numPr>
        <w:spacing w:line="360" w:lineRule="auto"/>
        <w:ind w:left="0" w:leftChars="0"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3、建立地中海贫血和G-6PD缺乏症干预体系，减少直至基本避免重症地中海贫血患儿出生。</w:t>
      </w:r>
    </w:p>
    <w:p>
      <w:pPr>
        <w:numPr>
          <w:ilvl w:val="0"/>
          <w:numId w:val="0"/>
        </w:numPr>
        <w:spacing w:line="360" w:lineRule="auto"/>
        <w:ind w:left="0" w:leftChars="0"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4、全省计划怀孕夫妇优生科学知识知晓率达到95%以上，参加孕前优生健康检查人群覆盖率80%以上。</w:t>
      </w:r>
    </w:p>
    <w:p>
      <w:pPr>
        <w:numPr>
          <w:ilvl w:val="0"/>
          <w:numId w:val="1"/>
        </w:numPr>
        <w:spacing w:line="360" w:lineRule="auto"/>
        <w:ind w:left="0" w:leftChars="0" w:firstLine="640" w:firstLineChars="200"/>
        <w:rPr>
          <w:rFonts w:hint="eastAsia" w:ascii="仿宋_GB2312" w:eastAsia="仿宋_GB2312"/>
          <w:sz w:val="32"/>
          <w:szCs w:val="32"/>
          <w:highlight w:val="none"/>
        </w:rPr>
      </w:pPr>
      <w:r>
        <w:rPr>
          <w:rFonts w:hint="eastAsia" w:ascii="仿宋_GB2312" w:eastAsia="仿宋_GB2312"/>
          <w:sz w:val="32"/>
          <w:szCs w:val="32"/>
          <w:highlight w:val="none"/>
          <w:lang w:val="en-US" w:eastAsia="zh-CN"/>
        </w:rPr>
        <w:t>综</w:t>
      </w:r>
      <w:r>
        <w:rPr>
          <w:rFonts w:hint="eastAsia" w:ascii="仿宋_GB2312" w:eastAsia="仿宋_GB2312"/>
          <w:sz w:val="32"/>
          <w:szCs w:val="32"/>
          <w:highlight w:val="none"/>
        </w:rPr>
        <w:t>述项目自评等级和分数，并对照佐证材料逐一分析。</w:t>
      </w:r>
    </w:p>
    <w:p>
      <w:pPr>
        <w:numPr>
          <w:ilvl w:val="0"/>
          <w:numId w:val="0"/>
        </w:numPr>
        <w:spacing w:line="360" w:lineRule="auto"/>
        <w:ind w:left="0" w:leftChars="0" w:firstLine="640" w:firstLineChars="200"/>
        <w:rPr>
          <w:rFonts w:hint="default"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自项目实施以来，一是广泛宣传，充分利用报刊、广播、电视、网络等媒体，发挥人口计生系统的网络优势，大力普及优生优育科学知识积建立目标人群夫妇信息档案；二是规范服务，严格执行《国家免费孕前优生健康检查试点工作技术服务规范（试行）》，按照《孕前优生健康检查健康教育指南》、《孕前优生健康检查体格检查指南》、《孕前优生健康检查临床检验操作指南》、《孕前优生健康检查妇科超声检查指南》、《孕前优生健康检查优生咨询指南》等，提供规范优质服务；三是提高能力，以实施免费孕前检查工作为契机，加强计划生育技术服务体系标准化规范化建设，拓宽服务内容。按照技术规范标准，配备优生实验室必须设备，配有资质的优生专科医生和优生检验技术人员，建立各项规章制度，规范服务流程，提高服务能力；四是建立目标人群夫妇信息档案，及时统计汇总分析检查情况和专项资金使用等数据信息，按要求定期上报并总结分析。根据项目的实施情况，综合评分91分。</w:t>
      </w:r>
    </w:p>
    <w:p>
      <w:pPr>
        <w:spacing w:line="360" w:lineRule="auto"/>
        <w:ind w:firstLine="640" w:firstLineChars="200"/>
        <w:rPr>
          <w:rFonts w:ascii="黑体" w:eastAsia="黑体"/>
          <w:sz w:val="32"/>
          <w:szCs w:val="32"/>
          <w:highlight w:val="none"/>
        </w:rPr>
      </w:pPr>
      <w:r>
        <w:rPr>
          <w:rFonts w:hint="eastAsia" w:ascii="黑体" w:eastAsia="黑体"/>
          <w:sz w:val="32"/>
          <w:szCs w:val="32"/>
          <w:highlight w:val="none"/>
        </w:rPr>
        <w:t>二、绩效表现</w:t>
      </w:r>
    </w:p>
    <w:p>
      <w:pPr>
        <w:spacing w:line="360" w:lineRule="auto"/>
        <w:ind w:firstLine="640" w:firstLineChars="200"/>
        <w:rPr>
          <w:rFonts w:ascii="仿宋_GB2312" w:eastAsia="仿宋_GB2312"/>
          <w:sz w:val="32"/>
          <w:szCs w:val="32"/>
          <w:highlight w:val="none"/>
        </w:rPr>
      </w:pPr>
      <w:r>
        <w:rPr>
          <w:rFonts w:hint="eastAsia" w:ascii="仿宋_GB2312" w:eastAsia="仿宋_GB2312"/>
          <w:sz w:val="32"/>
          <w:szCs w:val="32"/>
          <w:highlight w:val="none"/>
        </w:rPr>
        <w:t>（一）资金使用绩效。</w:t>
      </w:r>
    </w:p>
    <w:p>
      <w:pPr>
        <w:spacing w:line="360" w:lineRule="auto"/>
        <w:ind w:firstLine="640" w:firstLineChars="200"/>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rPr>
        <w:t>1、项目资金实际总投入情况。</w:t>
      </w:r>
    </w:p>
    <w:p>
      <w:pPr>
        <w:spacing w:line="360" w:lineRule="auto"/>
        <w:ind w:firstLine="640" w:firstLineChars="200"/>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rPr>
        <w:t>项目资金预算安排资金</w:t>
      </w:r>
      <w:r>
        <w:rPr>
          <w:rFonts w:hint="eastAsia" w:ascii="仿宋_GB2312" w:hAnsi="仿宋_GB2312" w:eastAsia="仿宋_GB2312"/>
          <w:sz w:val="32"/>
          <w:szCs w:val="32"/>
          <w:highlight w:val="none"/>
          <w:lang w:val="en-US" w:eastAsia="zh-CN"/>
        </w:rPr>
        <w:t>353000</w:t>
      </w:r>
      <w:r>
        <w:rPr>
          <w:rFonts w:hint="eastAsia" w:ascii="仿宋_GB2312" w:hAnsi="仿宋_GB2312" w:eastAsia="仿宋_GB2312"/>
          <w:sz w:val="32"/>
          <w:szCs w:val="32"/>
          <w:highlight w:val="none"/>
        </w:rPr>
        <w:t>元。202</w:t>
      </w:r>
      <w:r>
        <w:rPr>
          <w:rFonts w:hint="eastAsia" w:ascii="仿宋_GB2312" w:hAnsi="仿宋_GB2312" w:eastAsia="仿宋_GB2312"/>
          <w:sz w:val="32"/>
          <w:szCs w:val="32"/>
          <w:highlight w:val="none"/>
          <w:lang w:val="en-US" w:eastAsia="zh-CN"/>
        </w:rPr>
        <w:t>1</w:t>
      </w:r>
      <w:r>
        <w:rPr>
          <w:rFonts w:hint="eastAsia" w:ascii="仿宋_GB2312" w:hAnsi="仿宋_GB2312" w:eastAsia="仿宋_GB2312"/>
          <w:sz w:val="32"/>
          <w:szCs w:val="32"/>
          <w:highlight w:val="none"/>
        </w:rPr>
        <w:t>年项目资金申请</w:t>
      </w:r>
      <w:r>
        <w:rPr>
          <w:rFonts w:hint="eastAsia" w:ascii="仿宋_GB2312" w:hAnsi="仿宋_GB2312" w:eastAsia="仿宋_GB2312"/>
          <w:sz w:val="32"/>
          <w:szCs w:val="32"/>
          <w:highlight w:val="none"/>
          <w:lang w:val="en-US" w:eastAsia="zh-CN"/>
        </w:rPr>
        <w:t>267326.4</w:t>
      </w:r>
      <w:r>
        <w:rPr>
          <w:rFonts w:hint="eastAsia" w:ascii="仿宋_GB2312" w:hAnsi="仿宋_GB2312" w:eastAsia="仿宋_GB2312"/>
          <w:sz w:val="32"/>
          <w:szCs w:val="32"/>
          <w:highlight w:val="none"/>
        </w:rPr>
        <w:t>元，财政拨付资金</w:t>
      </w:r>
      <w:r>
        <w:rPr>
          <w:rFonts w:hint="eastAsia" w:ascii="仿宋_GB2312" w:hAnsi="仿宋_GB2312" w:eastAsia="仿宋_GB2312"/>
          <w:sz w:val="32"/>
          <w:szCs w:val="32"/>
          <w:highlight w:val="none"/>
          <w:lang w:val="en-US" w:eastAsia="zh-CN"/>
        </w:rPr>
        <w:t>267326.4</w:t>
      </w:r>
      <w:r>
        <w:rPr>
          <w:rFonts w:hint="eastAsia" w:ascii="仿宋_GB2312" w:hAnsi="仿宋_GB2312" w:eastAsia="仿宋_GB2312"/>
          <w:sz w:val="32"/>
          <w:szCs w:val="32"/>
          <w:highlight w:val="none"/>
        </w:rPr>
        <w:t>元，资金拨付率100%。</w:t>
      </w:r>
    </w:p>
    <w:p>
      <w:pPr>
        <w:numPr>
          <w:ilvl w:val="0"/>
          <w:numId w:val="2"/>
        </w:numPr>
        <w:spacing w:line="360" w:lineRule="auto"/>
        <w:ind w:firstLine="640" w:firstLineChars="200"/>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rPr>
        <w:t>项目资金实际支出情况，具体详细说明。</w:t>
      </w:r>
    </w:p>
    <w:p>
      <w:pPr>
        <w:numPr>
          <w:ilvl w:val="0"/>
          <w:numId w:val="0"/>
        </w:numPr>
        <w:spacing w:line="360" w:lineRule="auto"/>
        <w:ind w:left="0" w:leftChars="0" w:firstLine="640" w:firstLineChars="200"/>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rPr>
        <w:t>项目实际支出</w:t>
      </w:r>
      <w:r>
        <w:rPr>
          <w:rFonts w:hint="eastAsia" w:ascii="仿宋_GB2312" w:hAnsi="仿宋_GB2312" w:eastAsia="仿宋_GB2312"/>
          <w:sz w:val="32"/>
          <w:szCs w:val="32"/>
          <w:highlight w:val="none"/>
          <w:lang w:val="en-US" w:eastAsia="zh-CN"/>
        </w:rPr>
        <w:t>267326.4</w:t>
      </w:r>
      <w:r>
        <w:rPr>
          <w:rFonts w:hint="eastAsia" w:ascii="仿宋_GB2312" w:hAnsi="仿宋_GB2312" w:eastAsia="仿宋_GB2312"/>
          <w:sz w:val="32"/>
          <w:szCs w:val="32"/>
          <w:highlight w:val="none"/>
        </w:rPr>
        <w:t>元。主要用于支付项目检查中所需用到的一次性手套、帽子、棉签、酒精等卫生耗材，以及印刷宣传费，人员经费，办公耗材费等支出，资金使用率100%。</w:t>
      </w:r>
    </w:p>
    <w:p>
      <w:pPr>
        <w:numPr>
          <w:ilvl w:val="0"/>
          <w:numId w:val="2"/>
        </w:numPr>
        <w:spacing w:line="360" w:lineRule="auto"/>
        <w:ind w:left="0" w:leftChars="0" w:firstLine="640" w:firstLineChars="200"/>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rPr>
        <w:t>项目的绩效目标</w:t>
      </w:r>
      <w:r>
        <w:rPr>
          <w:rFonts w:hint="eastAsia" w:ascii="仿宋_GB2312" w:hAnsi="仿宋_GB2312" w:eastAsia="仿宋_GB2312"/>
          <w:sz w:val="32"/>
          <w:szCs w:val="32"/>
          <w:highlight w:val="none"/>
          <w:lang w:val="en-US" w:eastAsia="zh-CN"/>
        </w:rPr>
        <w:t>完成情况</w:t>
      </w:r>
      <w:r>
        <w:rPr>
          <w:rFonts w:hint="eastAsia" w:ascii="仿宋_GB2312" w:hAnsi="仿宋_GB2312" w:eastAsia="仿宋_GB2312"/>
          <w:sz w:val="32"/>
          <w:szCs w:val="32"/>
          <w:highlight w:val="none"/>
        </w:rPr>
        <w:t>（经济、政治和社会效益）。</w:t>
      </w:r>
    </w:p>
    <w:p>
      <w:pPr>
        <w:numPr>
          <w:ilvl w:val="0"/>
          <w:numId w:val="0"/>
        </w:numPr>
        <w:ind w:firstLine="640" w:firstLineChars="200"/>
        <w:outlineLvl w:val="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2021年</w:t>
      </w:r>
      <w:r>
        <w:rPr>
          <w:rFonts w:hint="eastAsia" w:ascii="仿宋" w:hAnsi="仿宋" w:eastAsia="仿宋" w:cs="仿宋"/>
          <w:sz w:val="32"/>
          <w:szCs w:val="32"/>
          <w:lang w:val="zh-CN"/>
        </w:rPr>
        <w:t>参加孕前优生健康检查人群</w:t>
      </w:r>
      <w:r>
        <w:rPr>
          <w:rFonts w:hint="eastAsia" w:ascii="仿宋" w:hAnsi="仿宋" w:eastAsia="仿宋" w:cs="仿宋"/>
          <w:sz w:val="32"/>
          <w:szCs w:val="32"/>
          <w:lang w:val="en-US" w:eastAsia="zh-CN"/>
        </w:rPr>
        <w:t>2016人次，</w:t>
      </w:r>
      <w:r>
        <w:rPr>
          <w:rFonts w:hint="eastAsia" w:ascii="仿宋" w:hAnsi="仿宋" w:eastAsia="仿宋" w:cs="仿宋"/>
          <w:sz w:val="32"/>
          <w:szCs w:val="32"/>
          <w:lang w:val="zh-CN"/>
        </w:rPr>
        <w:t>覆盖率</w:t>
      </w:r>
      <w:r>
        <w:rPr>
          <w:rFonts w:hint="eastAsia" w:ascii="仿宋" w:hAnsi="仿宋" w:eastAsia="仿宋" w:cs="仿宋"/>
          <w:sz w:val="32"/>
          <w:szCs w:val="32"/>
          <w:lang w:val="en-US" w:eastAsia="zh-CN"/>
        </w:rPr>
        <w:t>达94%。</w:t>
      </w:r>
    </w:p>
    <w:p>
      <w:pPr>
        <w:numPr>
          <w:ilvl w:val="0"/>
          <w:numId w:val="2"/>
        </w:numPr>
        <w:spacing w:line="360" w:lineRule="auto"/>
        <w:ind w:left="0" w:leftChars="0" w:firstLine="640" w:firstLineChars="200"/>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rPr>
        <w:t>项目资金使用效益，对环境、经济、社会的可持续影响。</w:t>
      </w:r>
    </w:p>
    <w:p>
      <w:pPr>
        <w:numPr>
          <w:ilvl w:val="0"/>
          <w:numId w:val="0"/>
        </w:numPr>
        <w:spacing w:line="360" w:lineRule="auto"/>
        <w:ind w:left="0" w:leftChars="0" w:firstLine="640" w:firstLineChars="200"/>
        <w:rPr>
          <w:rFonts w:hint="default" w:ascii="仿宋_GB2312" w:hAnsi="仿宋_GB2312" w:eastAsia="仿宋_GB2312"/>
          <w:sz w:val="32"/>
          <w:szCs w:val="32"/>
          <w:highlight w:val="none"/>
          <w:lang w:val="en-US" w:eastAsia="zh-CN"/>
        </w:rPr>
      </w:pPr>
      <w:r>
        <w:rPr>
          <w:rFonts w:hint="eastAsia" w:ascii="仿宋_GB2312" w:hAnsi="仿宋_GB2312" w:eastAsia="仿宋_GB2312"/>
          <w:sz w:val="32"/>
          <w:szCs w:val="32"/>
          <w:highlight w:val="none"/>
          <w:lang w:val="en-US" w:eastAsia="zh-CN"/>
        </w:rPr>
        <w:t>该项目的开展，减轻了受检群众的经济负担，从而减少受检人群因经济压力而不愿检查的现象。降低缺陷儿的出生率，提高我县人口素质。</w:t>
      </w:r>
    </w:p>
    <w:p>
      <w:pPr>
        <w:numPr>
          <w:ilvl w:val="0"/>
          <w:numId w:val="3"/>
        </w:numPr>
        <w:spacing w:line="360" w:lineRule="auto"/>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存在问题。</w:t>
      </w:r>
    </w:p>
    <w:p>
      <w:pPr>
        <w:numPr>
          <w:ilvl w:val="0"/>
          <w:numId w:val="0"/>
        </w:numPr>
        <w:spacing w:line="360" w:lineRule="auto"/>
        <w:ind w:left="0" w:leftChars="0" w:firstLine="640" w:firstLineChars="200"/>
        <w:rPr>
          <w:rFonts w:hint="default"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项目目标人群检查未达100%，还有上升的空间。部分农村地区人员孕前优生健康检查意识淡薄，不愿接受孕前优生健康检查。我院将积累工作经验，改进项目开展措施，加大免费孕前优生健康检查宣传力度，让更多群众知晓国家这一优惠政策。</w:t>
      </w:r>
    </w:p>
    <w:p>
      <w:pPr>
        <w:spacing w:line="360" w:lineRule="auto"/>
        <w:ind w:firstLine="640" w:firstLineChars="200"/>
        <w:rPr>
          <w:rFonts w:ascii="黑体" w:eastAsia="黑体"/>
          <w:sz w:val="32"/>
          <w:szCs w:val="32"/>
          <w:highlight w:val="none"/>
        </w:rPr>
      </w:pPr>
      <w:r>
        <w:rPr>
          <w:rFonts w:hint="eastAsia" w:ascii="黑体" w:eastAsia="黑体"/>
          <w:sz w:val="32"/>
          <w:szCs w:val="32"/>
          <w:highlight w:val="none"/>
        </w:rPr>
        <w:t>三、改进意见</w:t>
      </w:r>
    </w:p>
    <w:p>
      <w:pPr>
        <w:spacing w:line="360" w:lineRule="auto"/>
        <w:ind w:firstLine="640" w:firstLineChars="200"/>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加大宣传力度，让免费孕前优生健康检查这一惠民政策的受益群众更多，通过孕前优生健康检查，降低缺陷儿出生率，从而提高我县人口素质，避免部分家庭因缺陷儿的出生而负担更大的经济压力。</w:t>
      </w:r>
      <w:bookmarkStart w:id="0" w:name="_GoBack"/>
      <w:bookmarkEnd w:id="0"/>
    </w:p>
    <w:p>
      <w:pPr>
        <w:numPr>
          <w:ilvl w:val="0"/>
          <w:numId w:val="4"/>
        </w:numPr>
        <w:spacing w:line="360" w:lineRule="auto"/>
        <w:ind w:firstLine="640" w:firstLineChars="200"/>
        <w:rPr>
          <w:rFonts w:hint="eastAsia" w:ascii="黑体" w:eastAsia="黑体"/>
          <w:sz w:val="32"/>
          <w:szCs w:val="32"/>
          <w:highlight w:val="none"/>
          <w:lang w:val="en-US" w:eastAsia="zh-CN"/>
        </w:rPr>
      </w:pPr>
      <w:r>
        <w:rPr>
          <w:rFonts w:hint="eastAsia" w:ascii="黑体" w:eastAsia="黑体"/>
          <w:sz w:val="32"/>
          <w:szCs w:val="32"/>
          <w:highlight w:val="none"/>
          <w:lang w:val="en-US" w:eastAsia="zh-CN"/>
        </w:rPr>
        <w:t>其他需要说明的情况</w:t>
      </w:r>
    </w:p>
    <w:p>
      <w:pPr>
        <w:spacing w:line="360" w:lineRule="auto"/>
        <w:ind w:firstLine="640" w:firstLineChars="200"/>
        <w:rPr>
          <w:rFonts w:hint="default" w:ascii="仿宋_GB2312" w:eastAsia="仿宋_GB2312"/>
          <w:sz w:val="32"/>
          <w:szCs w:val="32"/>
          <w:highlight w:val="none"/>
          <w:lang w:val="en-US" w:eastAsia="zh-CN"/>
        </w:rPr>
      </w:pPr>
    </w:p>
    <w:p>
      <w:pPr>
        <w:widowControl w:val="0"/>
        <w:numPr>
          <w:ilvl w:val="0"/>
          <w:numId w:val="0"/>
        </w:numPr>
        <w:jc w:val="right"/>
        <w:outlineLvl w:val="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乳源瑶族自治县妇幼保健院</w:t>
      </w:r>
    </w:p>
    <w:p>
      <w:pPr>
        <w:widowControl w:val="0"/>
        <w:numPr>
          <w:ilvl w:val="0"/>
          <w:numId w:val="0"/>
        </w:numPr>
        <w:jc w:val="right"/>
        <w:outlineLvl w:val="0"/>
        <w:rPr>
          <w:rFonts w:hint="eastAsia" w:ascii="仿宋_GB2312" w:eastAsia="仿宋_GB2312"/>
          <w:sz w:val="32"/>
          <w:szCs w:val="32"/>
          <w:highlight w:val="none"/>
        </w:rPr>
      </w:pPr>
      <w:r>
        <w:rPr>
          <w:rFonts w:hint="eastAsia" w:ascii="仿宋" w:hAnsi="仿宋" w:eastAsia="仿宋" w:cs="仿宋"/>
          <w:sz w:val="32"/>
          <w:szCs w:val="32"/>
          <w:lang w:val="en-US" w:eastAsia="zh-CN"/>
        </w:rPr>
        <w:t xml:space="preserve">                            2022年4月12日</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1B4BCE"/>
    <w:multiLevelType w:val="singleLevel"/>
    <w:tmpl w:val="B71B4BCE"/>
    <w:lvl w:ilvl="0" w:tentative="0">
      <w:start w:val="2"/>
      <w:numFmt w:val="decimal"/>
      <w:suff w:val="nothing"/>
      <w:lvlText w:val="%1、"/>
      <w:lvlJc w:val="left"/>
    </w:lvl>
  </w:abstractNum>
  <w:abstractNum w:abstractNumId="1">
    <w:nsid w:val="C6D882EE"/>
    <w:multiLevelType w:val="singleLevel"/>
    <w:tmpl w:val="C6D882EE"/>
    <w:lvl w:ilvl="0" w:tentative="0">
      <w:start w:val="4"/>
      <w:numFmt w:val="chineseCounting"/>
      <w:suff w:val="nothing"/>
      <w:lvlText w:val="%1、"/>
      <w:lvlJc w:val="left"/>
      <w:rPr>
        <w:rFonts w:hint="eastAsia"/>
      </w:rPr>
    </w:lvl>
  </w:abstractNum>
  <w:abstractNum w:abstractNumId="2">
    <w:nsid w:val="071E815D"/>
    <w:multiLevelType w:val="singleLevel"/>
    <w:tmpl w:val="071E815D"/>
    <w:lvl w:ilvl="0" w:tentative="0">
      <w:start w:val="2"/>
      <w:numFmt w:val="chineseCounting"/>
      <w:suff w:val="nothing"/>
      <w:lvlText w:val="（%1）"/>
      <w:lvlJc w:val="left"/>
      <w:rPr>
        <w:rFonts w:hint="eastAsia"/>
      </w:rPr>
    </w:lvl>
  </w:abstractNum>
  <w:abstractNum w:abstractNumId="3">
    <w:nsid w:val="25AC190A"/>
    <w:multiLevelType w:val="singleLevel"/>
    <w:tmpl w:val="25AC190A"/>
    <w:lvl w:ilvl="0" w:tentative="0">
      <w:start w:val="2"/>
      <w:numFmt w:val="chineseCounting"/>
      <w:suff w:val="nothing"/>
      <w:lvlText w:val="（%1）"/>
      <w:lvlJc w:val="left"/>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CA7"/>
    <w:rsid w:val="000560B1"/>
    <w:rsid w:val="0013153B"/>
    <w:rsid w:val="00182223"/>
    <w:rsid w:val="003B25CA"/>
    <w:rsid w:val="004903E7"/>
    <w:rsid w:val="00534213"/>
    <w:rsid w:val="006F6EA7"/>
    <w:rsid w:val="0087074D"/>
    <w:rsid w:val="00916C35"/>
    <w:rsid w:val="009C14D0"/>
    <w:rsid w:val="00E409B6"/>
    <w:rsid w:val="00EE444F"/>
    <w:rsid w:val="00F22CA7"/>
    <w:rsid w:val="11E70B58"/>
    <w:rsid w:val="163B4605"/>
    <w:rsid w:val="182D3B51"/>
    <w:rsid w:val="18C433E9"/>
    <w:rsid w:val="1BEA0FB0"/>
    <w:rsid w:val="1DD40D3A"/>
    <w:rsid w:val="1E0A1114"/>
    <w:rsid w:val="28F95133"/>
    <w:rsid w:val="2A0C3112"/>
    <w:rsid w:val="2A416855"/>
    <w:rsid w:val="2F894E3F"/>
    <w:rsid w:val="30101BC5"/>
    <w:rsid w:val="31493CDC"/>
    <w:rsid w:val="38246A0D"/>
    <w:rsid w:val="39921607"/>
    <w:rsid w:val="3ED82436"/>
    <w:rsid w:val="3FC72224"/>
    <w:rsid w:val="468762A1"/>
    <w:rsid w:val="47492CBE"/>
    <w:rsid w:val="4C1375A3"/>
    <w:rsid w:val="4E8D4A7A"/>
    <w:rsid w:val="5375086E"/>
    <w:rsid w:val="54DF0817"/>
    <w:rsid w:val="5B587A85"/>
    <w:rsid w:val="5C0D6C61"/>
    <w:rsid w:val="5EBE78A3"/>
    <w:rsid w:val="61C33033"/>
    <w:rsid w:val="62100A39"/>
    <w:rsid w:val="6D1A3D92"/>
    <w:rsid w:val="762E1BFC"/>
    <w:rsid w:val="79157223"/>
    <w:rsid w:val="7A7A23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2"/>
    <w:semiHidden/>
    <w:unhideWhenUsed/>
    <w:qFormat/>
    <w:uiPriority w:val="99"/>
    <w:pPr>
      <w:tabs>
        <w:tab w:val="center" w:pos="4153"/>
        <w:tab w:val="right" w:pos="8306"/>
      </w:tabs>
      <w:snapToGrid w:val="0"/>
      <w:jc w:val="left"/>
    </w:pPr>
    <w:rPr>
      <w:sz w:val="18"/>
      <w:szCs w:val="18"/>
    </w:rPr>
  </w:style>
  <w:style w:type="paragraph" w:styleId="3">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7">
    <w:name w:val="Strong"/>
    <w:basedOn w:val="6"/>
    <w:qFormat/>
    <w:uiPriority w:val="22"/>
    <w:rPr>
      <w:b/>
      <w:u w:val="none"/>
    </w:rPr>
  </w:style>
  <w:style w:type="character" w:styleId="8">
    <w:name w:val="FollowedHyperlink"/>
    <w:basedOn w:val="6"/>
    <w:semiHidden/>
    <w:unhideWhenUsed/>
    <w:qFormat/>
    <w:uiPriority w:val="99"/>
    <w:rPr>
      <w:color w:val="333333"/>
      <w:u w:val="none"/>
    </w:rPr>
  </w:style>
  <w:style w:type="character" w:styleId="9">
    <w:name w:val="Emphasis"/>
    <w:basedOn w:val="6"/>
    <w:qFormat/>
    <w:uiPriority w:val="20"/>
    <w:rPr>
      <w:u w:val="none"/>
    </w:rPr>
  </w:style>
  <w:style w:type="character" w:styleId="10">
    <w:name w:val="Hyperlink"/>
    <w:basedOn w:val="6"/>
    <w:semiHidden/>
    <w:unhideWhenUsed/>
    <w:qFormat/>
    <w:uiPriority w:val="99"/>
    <w:rPr>
      <w:color w:val="333333"/>
      <w:u w:val="none"/>
    </w:rPr>
  </w:style>
  <w:style w:type="character" w:customStyle="1" w:styleId="11">
    <w:name w:val="页眉 Char"/>
    <w:basedOn w:val="6"/>
    <w:link w:val="3"/>
    <w:semiHidden/>
    <w:qFormat/>
    <w:uiPriority w:val="99"/>
    <w:rPr>
      <w:rFonts w:ascii="Times New Roman" w:hAnsi="Times New Roman" w:eastAsia="宋体" w:cs="Times New Roman"/>
      <w:sz w:val="18"/>
      <w:szCs w:val="18"/>
    </w:rPr>
  </w:style>
  <w:style w:type="character" w:customStyle="1" w:styleId="12">
    <w:name w:val="页脚 Char"/>
    <w:basedOn w:val="6"/>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1560</Words>
  <Characters>1660</Characters>
  <Lines>1</Lines>
  <Paragraphs>1</Paragraphs>
  <TotalTime>0</TotalTime>
  <ScaleCrop>false</ScaleCrop>
  <LinksUpToDate>false</LinksUpToDate>
  <CharactersWithSpaces>1690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zero~</cp:lastModifiedBy>
  <cp:lastPrinted>2018-10-25T02:57:00Z</cp:lastPrinted>
  <dcterms:modified xsi:type="dcterms:W3CDTF">2022-04-24T08:58:50Z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083CD72321A8411E956CC9C0A4609BDC</vt:lpwstr>
  </property>
</Properties>
</file>