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（202</w:t>
      </w:r>
      <w:r>
        <w:rPr>
          <w:rFonts w:hint="eastAsia" w:ascii="仿宋_GB2312" w:hAnsi="仿宋_GB2312" w:eastAsia="仿宋_GB2312" w:cs="仿宋_GB2312"/>
          <w:b/>
          <w:bCs w:val="0"/>
          <w:sz w:val="32"/>
          <w:szCs w:val="32"/>
          <w:lang w:val="en-US" w:eastAsia="zh-CN"/>
        </w:rPr>
        <w:t>1</w:t>
      </w:r>
      <w:r>
        <w:rPr>
          <w:rFonts w:hint="eastAsia" w:ascii="仿宋_GB2312" w:hAnsi="仿宋_GB2312" w:eastAsia="仿宋_GB2312" w:cs="仿宋_GB2312"/>
          <w:b/>
          <w:bCs w:val="0"/>
          <w:sz w:val="32"/>
          <w:szCs w:val="32"/>
        </w:rPr>
        <w:t>年乳源瑶族自治县稻田养鱼发展经费（部门预算）项目）</w:t>
      </w:r>
    </w:p>
    <w:p>
      <w:pPr>
        <w:keepNext w:val="0"/>
        <w:keepLines w:val="0"/>
        <w:pageBreakBefore w:val="0"/>
        <w:widowControl w:val="0"/>
        <w:kinsoku/>
        <w:wordWrap/>
        <w:overflowPunct/>
        <w:topLinePunct w:val="0"/>
        <w:autoSpaceDE/>
        <w:autoSpaceDN/>
        <w:bidi w:val="0"/>
        <w:adjustRightInd/>
        <w:snapToGrid/>
        <w:spacing w:before="157" w:beforeLines="50" w:line="59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乳源瑶族自治县畜牧兽医水产事务中心为县农业农村局管理的公益一类</w:t>
      </w:r>
      <w:r>
        <w:rPr>
          <w:rFonts w:hint="eastAsia" w:ascii="仿宋_GB2312" w:eastAsia="仿宋_GB2312"/>
          <w:sz w:val="32"/>
          <w:szCs w:val="32"/>
          <w:lang w:eastAsia="zh-CN"/>
        </w:rPr>
        <w:t>参公管理</w:t>
      </w:r>
      <w:r>
        <w:rPr>
          <w:rFonts w:hint="eastAsia" w:ascii="仿宋_GB2312" w:eastAsia="仿宋_GB2312"/>
          <w:sz w:val="32"/>
          <w:szCs w:val="32"/>
        </w:rPr>
        <w:t>事业单位，共有</w:t>
      </w:r>
      <w:r>
        <w:rPr>
          <w:rFonts w:hint="eastAsia" w:ascii="仿宋_GB2312" w:eastAsia="仿宋_GB2312"/>
          <w:sz w:val="32"/>
          <w:szCs w:val="32"/>
          <w:lang w:eastAsia="zh-CN"/>
        </w:rPr>
        <w:t>参公管理</w:t>
      </w:r>
      <w:r>
        <w:rPr>
          <w:rFonts w:hint="eastAsia" w:ascii="仿宋_GB2312" w:eastAsia="仿宋_GB2312"/>
          <w:sz w:val="32"/>
          <w:szCs w:val="32"/>
        </w:rPr>
        <w:t>事业编制16名，副科级。主要职能是:贯彻执行国家有关畜牧兽医水产工作的法律法规和方针政策，研究拟订本县畜牧水产业生产发展规划和年度指导性计划并组织实施。</w:t>
      </w:r>
    </w:p>
    <w:p>
      <w:pPr>
        <w:pageBreakBefore w:val="0"/>
        <w:widowControl w:val="0"/>
        <w:numPr>
          <w:ilvl w:val="0"/>
          <w:numId w:val="1"/>
        </w:numPr>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投入5.289万元用于建设稻田养鱼田埂的加高等基础设施建设，采用先建后补的形式，第三方施工按照约定的工程内容进行施工，经过验收后，进行财审，通过后进行资金拨付。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r>
        <w:rPr>
          <w:rFonts w:hint="eastAsia" w:ascii="仿宋_GB2312" w:hAnsi="仿宋_GB2312" w:eastAsia="仿宋_GB2312" w:cs="仿宋_GB2312"/>
          <w:sz w:val="32"/>
          <w:szCs w:val="32"/>
        </w:rPr>
        <w:t>该项目自评等级为一级，自评分数为100分。项目前期工作能够严格按照上级项目实施要求进行准备，实施过程中加强了资金的管理，加强了项目的管理，项目绩效评价</w:t>
      </w:r>
      <w:r>
        <w:rPr>
          <w:rFonts w:hint="eastAsia" w:ascii="仿宋_GB2312" w:hAnsi="仿宋_GB2312" w:eastAsia="仿宋_GB2312" w:cs="仿宋_GB2312"/>
          <w:sz w:val="32"/>
          <w:szCs w:val="32"/>
          <w:lang w:eastAsia="zh-CN"/>
        </w:rPr>
        <w:t>生态效益</w:t>
      </w:r>
      <w:r>
        <w:rPr>
          <w:rFonts w:hint="eastAsia" w:ascii="仿宋_GB2312" w:hAnsi="仿宋_GB2312" w:eastAsia="仿宋_GB2312" w:cs="仿宋_GB2312"/>
          <w:sz w:val="32"/>
          <w:szCs w:val="32"/>
        </w:rPr>
        <w:t>良好。该项目</w:t>
      </w:r>
      <w:r>
        <w:rPr>
          <w:rFonts w:hint="eastAsia" w:ascii="仿宋_GB2312" w:hAnsi="仿宋_GB2312" w:eastAsia="仿宋_GB2312" w:cs="仿宋_GB2312"/>
          <w:sz w:val="32"/>
          <w:szCs w:val="32"/>
          <w:lang w:eastAsia="zh-CN"/>
        </w:rPr>
        <w:t>已经实施完成</w:t>
      </w:r>
      <w:r>
        <w:rPr>
          <w:rFonts w:hint="eastAsia" w:ascii="仿宋_GB2312" w:hAnsi="仿宋_GB2312" w:eastAsia="仿宋_GB2312" w:cs="仿宋_GB2312"/>
          <w:sz w:val="32"/>
          <w:szCs w:val="32"/>
        </w:rPr>
        <w:t>。</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ascii="黑体" w:eastAsia="黑体"/>
          <w:sz w:val="32"/>
          <w:szCs w:val="32"/>
        </w:rPr>
      </w:pPr>
      <w:r>
        <w:rPr>
          <w:rFonts w:hint="eastAsia" w:ascii="黑体" w:eastAsia="黑体"/>
          <w:sz w:val="32"/>
          <w:szCs w:val="32"/>
        </w:rPr>
        <w:t>二、绩效表现</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1、项目资金实际总投入情况。项目资金实际总投入</w:t>
      </w:r>
      <w:r>
        <w:rPr>
          <w:rFonts w:hint="eastAsia" w:ascii="仿宋_GB2312" w:hAnsi="仿宋_GB2312" w:eastAsia="仿宋_GB2312"/>
          <w:sz w:val="32"/>
          <w:szCs w:val="32"/>
          <w:lang w:val="en-US" w:eastAsia="zh-CN"/>
        </w:rPr>
        <w:t>5.289万元</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方正仿宋简体"/>
          <w:sz w:val="32"/>
          <w:szCs w:val="32"/>
          <w:lang w:val="en-US" w:eastAsia="zh-CN"/>
        </w:rPr>
      </w:pPr>
      <w:r>
        <w:rPr>
          <w:rFonts w:hint="eastAsia" w:ascii="仿宋_GB2312" w:hAnsi="仿宋_GB2312" w:eastAsia="仿宋_GB2312"/>
          <w:sz w:val="32"/>
          <w:szCs w:val="32"/>
        </w:rPr>
        <w:t>2、项目资金实际支出情况，具体详细说明。1.</w:t>
      </w:r>
      <w:r>
        <w:rPr>
          <w:rFonts w:hint="eastAsia" w:ascii="仿宋_GB2312" w:hAnsi="仿宋_GB2312" w:eastAsia="仿宋_GB2312"/>
          <w:sz w:val="32"/>
          <w:szCs w:val="32"/>
          <w:lang w:eastAsia="zh-CN"/>
        </w:rPr>
        <w:t>拨付</w:t>
      </w:r>
      <w:r>
        <w:rPr>
          <w:rFonts w:hint="eastAsia" w:ascii="仿宋_GB2312" w:hAnsi="仿宋_GB2312" w:eastAsia="仿宋_GB2312"/>
          <w:sz w:val="32"/>
          <w:szCs w:val="32"/>
          <w:lang w:val="en-US" w:eastAsia="zh-CN"/>
        </w:rPr>
        <w:t>5.289万元用于大桥镇核桃山、柯树下、岩口村等地稻田基础设施建设</w:t>
      </w:r>
      <w:r>
        <w:rPr>
          <w:rFonts w:hint="eastAsia" w:ascii="方正仿宋简体" w:hAnsi="方正仿宋简体" w:eastAsia="方正仿宋简体" w:cs="方正仿宋简体"/>
          <w:color w:val="auto"/>
          <w:kern w:val="2"/>
          <w:sz w:val="32"/>
          <w:szCs w:val="32"/>
          <w:lang w:val="en-US" w:eastAsia="zh-CN" w:bidi="ar"/>
        </w:rPr>
        <w:t>。</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lang w:eastAsia="zh-CN"/>
        </w:rPr>
        <w:t>建设约</w:t>
      </w:r>
      <w:r>
        <w:rPr>
          <w:rFonts w:hint="eastAsia" w:ascii="仿宋_GB2312" w:hAnsi="仿宋_GB2312" w:eastAsia="仿宋_GB2312"/>
          <w:sz w:val="32"/>
          <w:szCs w:val="32"/>
          <w:lang w:val="en-US" w:eastAsia="zh-CN"/>
        </w:rPr>
        <w:t>10亩稻田养鱼示范基地</w:t>
      </w:r>
      <w:r>
        <w:rPr>
          <w:rFonts w:hint="eastAsia" w:ascii="仿宋_GB2312" w:hAnsi="仿宋_GB2312" w:eastAsia="仿宋_GB2312"/>
          <w:sz w:val="32"/>
          <w:szCs w:val="32"/>
        </w:rPr>
        <w:t>。</w:t>
      </w:r>
    </w:p>
    <w:p>
      <w:pPr>
        <w:pageBreakBefore w:val="0"/>
        <w:widowControl w:val="0"/>
        <w:numPr>
          <w:ilvl w:val="0"/>
          <w:numId w:val="2"/>
        </w:numPr>
        <w:kinsoku/>
        <w:wordWrap/>
        <w:overflowPunct/>
        <w:topLinePunct w:val="0"/>
        <w:autoSpaceDE/>
        <w:autoSpaceDN/>
        <w:bidi w:val="0"/>
        <w:adjustRightInd/>
        <w:snapToGrid/>
        <w:spacing w:line="590" w:lineRule="exact"/>
        <w:ind w:left="638" w:leftChars="304" w:firstLine="0" w:firstLineChars="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r>
        <w:rPr>
          <w:rFonts w:hint="eastAsia" w:ascii="仿宋_GB2312" w:hAnsi="仿宋_GB2312" w:eastAsia="仿宋_GB2312"/>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ascii="仿宋_GB2312" w:eastAsia="仿宋_GB2312"/>
          <w:sz w:val="32"/>
          <w:szCs w:val="32"/>
        </w:rPr>
      </w:pPr>
      <w:r>
        <w:rPr>
          <w:rFonts w:hint="eastAsia" w:ascii="仿宋_GB2312" w:hAnsi="仿宋_GB2312" w:eastAsia="仿宋_GB2312"/>
          <w:sz w:val="32"/>
          <w:szCs w:val="32"/>
          <w:lang w:eastAsia="zh-CN"/>
        </w:rPr>
        <w:t>建成</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个稻田养鱼示范点，努力大面积推广稻渔综合种养产业,坚决贯彻落实党中央振兴乡村、美丽乡村的重要战略部署，发展农村经济，增加农民收入，亩产增收</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000元</w:t>
      </w:r>
      <w:r>
        <w:rPr>
          <w:rFonts w:hint="eastAsia" w:ascii="仿宋_GB2312" w:hAnsi="仿宋_GB2312" w:eastAsia="仿宋_GB2312"/>
          <w:sz w:val="32"/>
          <w:szCs w:val="32"/>
          <w:lang w:eastAsia="zh-CN"/>
        </w:rPr>
        <w:t>以上，</w:t>
      </w:r>
      <w:r>
        <w:rPr>
          <w:rFonts w:hint="eastAsia" w:ascii="仿宋_GB2312" w:hAnsi="仿宋_GB2312" w:eastAsia="仿宋_GB2312"/>
          <w:sz w:val="32"/>
          <w:szCs w:val="32"/>
        </w:rPr>
        <w:t>化肥投入、农药投入减少80%</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实现县委县政府提出的发展“一乡一品”建设规划,实现稻田养鱼优质高效持续发展, 促进生态与经济2个系统的良性循环。</w:t>
      </w:r>
    </w:p>
    <w:p>
      <w:pPr>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eastAsia="zh-CN"/>
        </w:rPr>
        <w:t>（三）</w:t>
      </w:r>
      <w:r>
        <w:rPr>
          <w:rFonts w:hint="eastAsia" w:ascii="仿宋_GB2312" w:hAnsi="仿宋_GB2312" w:eastAsia="仿宋_GB2312"/>
          <w:sz w:val="32"/>
          <w:szCs w:val="32"/>
        </w:rPr>
        <w:t>存在问题。</w:t>
      </w:r>
    </w:p>
    <w:p>
      <w:pPr>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eastAsia="zh-CN"/>
        </w:rPr>
        <w:t>无。</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ascii="黑体" w:eastAsia="黑体"/>
          <w:sz w:val="32"/>
          <w:szCs w:val="32"/>
        </w:rPr>
      </w:pPr>
      <w:r>
        <w:rPr>
          <w:rFonts w:hint="eastAsia" w:ascii="黑体" w:eastAsia="黑体"/>
          <w:sz w:val="32"/>
          <w:szCs w:val="32"/>
        </w:rPr>
        <w:t>三、改进意见</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针对存在的问题提出完善项目管理资金绩效管理的意见。或拟在下一步工作中调整完善的工作计划。</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包括但不限于政策制定、项目实施管理等方面好的经验方法，碰到的实际困难等其他需说明的内容。</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lang w:eastAsia="zh-CN"/>
        </w:rPr>
      </w:pPr>
      <w:r>
        <w:rPr>
          <w:rFonts w:hint="eastAsia" w:ascii="仿宋_GB2312" w:eastAsia="仿宋_GB2312"/>
          <w:sz w:val="32"/>
          <w:szCs w:val="32"/>
          <w:lang w:eastAsia="zh-CN"/>
        </w:rPr>
        <w:t>无。</w:t>
      </w:r>
    </w:p>
    <w:p>
      <w:pPr>
        <w:pageBreakBefore w:val="0"/>
        <w:widowControl w:val="0"/>
        <w:kinsoku/>
        <w:wordWrap/>
        <w:overflowPunct/>
        <w:topLinePunct w:val="0"/>
        <w:autoSpaceDE/>
        <w:autoSpaceDN/>
        <w:bidi w:val="0"/>
        <w:adjustRightInd/>
        <w:snapToGrid/>
        <w:spacing w:line="590" w:lineRule="exact"/>
        <w:ind w:firstLine="640" w:firstLineChars="200"/>
        <w:jc w:val="right"/>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乳源瑶族自治县畜牧兽医水产事务中心</w:t>
      </w:r>
    </w:p>
    <w:p>
      <w:pPr>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eastAsia"/>
          <w:lang w:eastAsia="zh-CN"/>
        </w:rPr>
      </w:pPr>
      <w:r>
        <w:rPr>
          <w:rFonts w:hint="eastAsia" w:ascii="仿宋_GB2312" w:hAnsi="仿宋_GB2312" w:eastAsia="仿宋_GB2312"/>
          <w:sz w:val="32"/>
          <w:szCs w:val="32"/>
          <w:lang w:val="en-US" w:eastAsia="zh-CN"/>
        </w:rPr>
        <w:t xml:space="preserve">                     </w:t>
      </w:r>
      <w:bookmarkStart w:id="0" w:name="_GoBack"/>
      <w:bookmarkEnd w:id="0"/>
      <w:r>
        <w:rPr>
          <w:rFonts w:hint="eastAsia" w:ascii="仿宋_GB2312" w:hAnsi="仿宋_GB2312" w:eastAsia="仿宋_GB2312"/>
          <w:sz w:val="32"/>
          <w:szCs w:val="32"/>
          <w:lang w:val="en-US" w:eastAsia="zh-CN"/>
        </w:rPr>
        <w:t>2022年4月6日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A32C3"/>
    <w:multiLevelType w:val="singleLevel"/>
    <w:tmpl w:val="01BA32C3"/>
    <w:lvl w:ilvl="0" w:tentative="0">
      <w:start w:val="4"/>
      <w:numFmt w:val="decimal"/>
      <w:suff w:val="nothing"/>
      <w:lvlText w:val="%1、"/>
      <w:lvlJc w:val="left"/>
    </w:lvl>
  </w:abstractNum>
  <w:abstractNum w:abstractNumId="1">
    <w:nsid w:val="2F019330"/>
    <w:multiLevelType w:val="singleLevel"/>
    <w:tmpl w:val="2F01933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07477DF8"/>
    <w:rsid w:val="0DC7504F"/>
    <w:rsid w:val="1BEA0FB0"/>
    <w:rsid w:val="24B408B7"/>
    <w:rsid w:val="2A0C3112"/>
    <w:rsid w:val="312A4DB2"/>
    <w:rsid w:val="34944F91"/>
    <w:rsid w:val="39747BD3"/>
    <w:rsid w:val="39921607"/>
    <w:rsid w:val="468762A1"/>
    <w:rsid w:val="500F7BE6"/>
    <w:rsid w:val="53750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1003</Words>
  <Characters>1026</Characters>
  <Lines>1</Lines>
  <Paragraphs>1</Paragraphs>
  <TotalTime>10</TotalTime>
  <ScaleCrop>false</ScaleCrop>
  <LinksUpToDate>false</LinksUpToDate>
  <CharactersWithSpaces>1051</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2022-04-07T00:39:44Z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B38234525FA546C78E7474A35F030FBF</vt:lpwstr>
  </property>
  <property fmtid="{D5CDD505-2E9C-101B-9397-08002B2CF9AE}" pid="4" name="KSOSaveFontToCloudKey">
    <vt:lpwstr>445131977_cloud</vt:lpwstr>
  </property>
</Properties>
</file>