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不动产登记基础平台运行维护</w:t>
      </w:r>
      <w:bookmarkEnd w:id="0"/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为了保障不动产登记平台的运行支撑能力，市、县同步提升不动产登记综合服务能力，满足不动产登记业务办理、系统管理应用及升级改造需求，实现房产交易、核价核税与不动产登记的联动办理。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述项目自评等级和分数。</w:t>
      </w:r>
    </w:p>
    <w:p>
      <w:pPr>
        <w:numPr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运行维护保障不动产登记基础平台正常稳定运行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，不动产登记基础平台与数字广东“互联网+不动产申办平台”对接，</w:t>
      </w:r>
      <w:r>
        <w:rPr>
          <w:rFonts w:hint="eastAsia" w:ascii="仿宋_GB2312" w:hAnsi="仿宋_GB2312" w:eastAsia="仿宋_GB2312"/>
          <w:sz w:val="32"/>
          <w:szCs w:val="32"/>
        </w:rPr>
        <w:t>保障不动产登记工作平稳有序开展，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满足不动产登记业务办理，系统管理应用及升级改造需求，</w:t>
      </w:r>
      <w:r>
        <w:rPr>
          <w:rFonts w:hint="eastAsia" w:ascii="仿宋_GB2312" w:hAnsi="仿宋_GB2312" w:eastAsia="仿宋_GB2312"/>
          <w:sz w:val="32"/>
          <w:szCs w:val="32"/>
        </w:rPr>
        <w:t>提高不动产登记效率，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实现房产交易、核价核税与不动产登记的联动办理，</w:t>
      </w:r>
      <w:r>
        <w:rPr>
          <w:rFonts w:hint="eastAsia" w:ascii="仿宋_GB2312" w:eastAsia="仿宋_GB2312"/>
          <w:sz w:val="32"/>
          <w:szCs w:val="32"/>
        </w:rPr>
        <w:t>能有效的保障不动产交易的安全，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全面提升服务型政府办事效能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按要求实施，并实时监管项目质量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1C491C"/>
    <w:multiLevelType w:val="singleLevel"/>
    <w:tmpl w:val="F31C491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2707E6D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307</Words>
  <Characters>307</Characters>
  <Lines>1</Lines>
  <Paragraphs>1</Paragraphs>
  <TotalTime>1</TotalTime>
  <ScaleCrop>false</ScaleCrop>
  <LinksUpToDate>false</LinksUpToDate>
  <CharactersWithSpaces>307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D-Liang</cp:lastModifiedBy>
  <cp:lastPrinted>2018-10-25T02:57:00Z</cp:lastPrinted>
  <dcterms:modified xsi:type="dcterms:W3CDTF">2022-04-11T08:05:43Z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5939B363BF484EBE8145B88BEDFC151D</vt:lpwstr>
  </property>
</Properties>
</file>