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2019年度第二、第三批拆旧复垦指标收益资金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资源局，为正科级行政单位，主要职能：贯彻执行国家有关土地、矿产、测绘管理的方针、政策和法律、法规，合理利用和保护土地资源。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2019年度第二、第三批拆旧复垦指标收益资金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用于乳城镇、一六镇、洛阳镇、东坪镇拆旧复垦项目指标交易收益资金发放。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简述项目自评等级和分数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</w:t>
      </w:r>
      <w:bookmarkStart w:id="0" w:name="_GoBack"/>
      <w:bookmarkEnd w:id="0"/>
      <w:r>
        <w:rPr>
          <w:rFonts w:hint="eastAsia" w:ascii="仿宋_GB2312" w:hAnsi="宋体" w:eastAsia="仿宋_GB2312" w:cs="仿宋_GB2312"/>
          <w:sz w:val="32"/>
          <w:szCs w:val="32"/>
        </w:rPr>
        <w:t>数为</w:t>
      </w:r>
      <w:r>
        <w:rPr>
          <w:rFonts w:ascii="仿宋_GB2312" w:hAnsi="宋体" w:eastAsia="仿宋_GB2312" w:cs="仿宋_GB2312"/>
          <w:sz w:val="32"/>
          <w:szCs w:val="32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eastAsia="仿宋_GB2312"/>
          <w:sz w:val="32"/>
          <w:szCs w:val="32"/>
        </w:rPr>
        <w:t>2019年度第二、第三批拆旧复垦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项目总计交易指标176.0738亩，申请发放的资金为镇、村委、村集体及村民收益，共计66908044元，涉及乡镇为乳城镇、一六镇、洛阳镇、东坪镇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该笔资金已全部完成支付，具体为乳城镇收益1558.57万元，一六镇收益499.6848万元，东坪镇收益2738.0938万元，洛阳镇收益1894.4558万元。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508547"/>
    <w:multiLevelType w:val="singleLevel"/>
    <w:tmpl w:val="E150854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4A3C1230"/>
    <w:rsid w:val="5375086E"/>
    <w:rsid w:val="63A0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420</Words>
  <Characters>480</Characters>
  <Lines>1</Lines>
  <Paragraphs>1</Paragraphs>
  <TotalTime>0</TotalTime>
  <ScaleCrop>false</ScaleCrop>
  <LinksUpToDate>false</LinksUpToDate>
  <CharactersWithSpaces>480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hyc</cp:lastModifiedBy>
  <cp:lastPrinted>2018-10-25T02:57:00Z</cp:lastPrinted>
  <dcterms:modified xsi:type="dcterms:W3CDTF">2022-04-24T08:02:07Z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BF23FDE5B32D4DC99C34AE4144CC8F7D</vt:lpwstr>
  </property>
</Properties>
</file>