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color w:val="auto"/>
          <w:sz w:val="36"/>
          <w:szCs w:val="36"/>
        </w:rPr>
      </w:pPr>
      <w:r>
        <w:rPr>
          <w:rFonts w:hint="eastAsia" w:ascii="黑体" w:hAnsi="黑体" w:eastAsia="黑体"/>
          <w:color w:val="auto"/>
          <w:sz w:val="32"/>
        </w:rPr>
        <w:t>附件</w:t>
      </w:r>
    </w:p>
    <w:p>
      <w:pPr>
        <w:jc w:val="center"/>
        <w:rPr>
          <w:rFonts w:ascii="宋体" w:hAnsi="宋体"/>
          <w:b/>
          <w:color w:val="auto"/>
          <w:sz w:val="36"/>
          <w:szCs w:val="36"/>
        </w:rPr>
      </w:pPr>
      <w:r>
        <w:rPr>
          <w:rFonts w:hint="eastAsia" w:ascii="宋体" w:hAnsi="宋体" w:cs="Times New Roman"/>
          <w:b/>
          <w:color w:val="auto"/>
          <w:sz w:val="36"/>
          <w:szCs w:val="36"/>
          <w:lang w:val="en-US" w:eastAsia="zh-CN"/>
        </w:rPr>
        <w:t>城乡一体化住户调查</w:t>
      </w:r>
      <w:r>
        <w:rPr>
          <w:rFonts w:hint="eastAsia" w:ascii="宋体" w:hAnsi="宋体"/>
          <w:b/>
          <w:color w:val="auto"/>
          <w:sz w:val="36"/>
          <w:szCs w:val="36"/>
        </w:rPr>
        <w:t>财政支出项目绩效自评报告</w:t>
      </w:r>
    </w:p>
    <w:p>
      <w:pPr>
        <w:rPr>
          <w:rFonts w:ascii="仿宋_GB2312" w:eastAsia="仿宋_GB2312"/>
          <w:color w:val="auto"/>
          <w:sz w:val="44"/>
          <w:szCs w:val="44"/>
        </w:rPr>
      </w:pP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一、项目基本情况及自评结论</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（一）项目用款单位简要情况。</w:t>
      </w:r>
    </w:p>
    <w:p>
      <w:pPr>
        <w:spacing w:line="360" w:lineRule="auto"/>
        <w:ind w:firstLine="640" w:firstLineChars="200"/>
        <w:rPr>
          <w:rFonts w:hint="eastAsia" w:ascii="仿宋_GB2312" w:hAnsi="Times New Roman" w:eastAsia="仿宋_GB2312" w:cs="Times New Roman"/>
          <w:color w:val="auto"/>
          <w:sz w:val="32"/>
          <w:szCs w:val="32"/>
        </w:rPr>
      </w:pPr>
      <w:r>
        <w:rPr>
          <w:rFonts w:hint="default" w:ascii="仿宋_GB2312" w:eastAsia="仿宋_GB2312"/>
          <w:color w:val="auto"/>
          <w:sz w:val="32"/>
          <w:szCs w:val="32"/>
        </w:rPr>
        <w:t>乳源瑶族自治县统计局</w:t>
      </w:r>
      <w:r>
        <w:rPr>
          <w:rFonts w:hint="eastAsia" w:ascii="仿宋_GB2312" w:eastAsia="仿宋_GB2312"/>
          <w:color w:val="auto"/>
          <w:sz w:val="32"/>
          <w:szCs w:val="32"/>
          <w:lang w:eastAsia="zh-CN"/>
        </w:rPr>
        <w:t>是正科级行政单位，包括</w:t>
      </w:r>
      <w:r>
        <w:rPr>
          <w:rFonts w:hint="eastAsia" w:ascii="仿宋_GB2312" w:eastAsia="仿宋_GB2312"/>
          <w:color w:val="auto"/>
          <w:sz w:val="32"/>
          <w:szCs w:val="32"/>
          <w:lang w:val="en-US" w:eastAsia="zh-CN"/>
        </w:rPr>
        <w:t>1个下属单位乳源瑶族自治县普查中心（非独立核算单位</w:t>
      </w:r>
      <w:bookmarkStart w:id="1" w:name="_GoBack"/>
      <w:bookmarkEnd w:id="1"/>
      <w:r>
        <w:rPr>
          <w:rFonts w:hint="eastAsia" w:ascii="仿宋_GB2312" w:eastAsia="仿宋_GB2312"/>
          <w:color w:val="auto"/>
          <w:sz w:val="32"/>
          <w:szCs w:val="32"/>
          <w:lang w:val="en-US" w:eastAsia="zh-CN"/>
        </w:rPr>
        <w:t>）</w:t>
      </w:r>
      <w:r>
        <w:rPr>
          <w:rFonts w:hint="eastAsia" w:ascii="仿宋_GB2312" w:eastAsia="仿宋_GB2312"/>
          <w:color w:val="auto"/>
          <w:sz w:val="32"/>
          <w:szCs w:val="32"/>
          <w:lang w:eastAsia="zh-CN"/>
        </w:rPr>
        <w:t>，</w:t>
      </w:r>
      <w:r>
        <w:rPr>
          <w:rFonts w:hint="eastAsia" w:ascii="仿宋_GB2312" w:hAnsi="Times New Roman" w:eastAsia="仿宋_GB2312" w:cs="Times New Roman"/>
          <w:color w:val="auto"/>
          <w:sz w:val="32"/>
          <w:szCs w:val="32"/>
          <w:lang w:eastAsia="zh-CN"/>
        </w:rPr>
        <w:t>其</w:t>
      </w:r>
      <w:r>
        <w:rPr>
          <w:rFonts w:hint="eastAsia" w:ascii="仿宋_GB2312" w:hAnsi="Times New Roman" w:eastAsia="仿宋_GB2312" w:cs="Times New Roman"/>
          <w:color w:val="auto"/>
          <w:sz w:val="32"/>
          <w:szCs w:val="32"/>
        </w:rPr>
        <w:t>主要职责</w:t>
      </w:r>
      <w:bookmarkStart w:id="0" w:name="PO_part1Responsibilities"/>
      <w:r>
        <w:rPr>
          <w:rFonts w:hint="eastAsia" w:ascii="仿宋_GB2312" w:hAnsi="Times New Roman" w:eastAsia="仿宋_GB2312" w:cs="Times New Roman"/>
          <w:color w:val="auto"/>
          <w:sz w:val="32"/>
          <w:szCs w:val="32"/>
          <w:lang w:eastAsia="zh-CN"/>
        </w:rPr>
        <w:t>：贯彻执行国家和省、市有关统计工作的方针政策、法律法规和方法</w:t>
      </w:r>
      <w:r>
        <w:rPr>
          <w:rFonts w:hint="eastAsia" w:ascii="仿宋_GB2312" w:hAnsi="Times New Roman" w:eastAsia="仿宋_GB2312" w:cs="Times New Roman"/>
          <w:color w:val="auto"/>
          <w:sz w:val="32"/>
          <w:szCs w:val="32"/>
        </w:rPr>
        <w:t>制度</w:t>
      </w:r>
      <w:r>
        <w:rPr>
          <w:rFonts w:hint="eastAsia" w:ascii="仿宋_GB2312" w:hAnsi="Times New Roman" w:eastAsia="仿宋_GB2312" w:cs="Times New Roman"/>
          <w:color w:val="auto"/>
          <w:sz w:val="32"/>
          <w:szCs w:val="32"/>
          <w:lang w:val="en-US" w:eastAsia="zh-CN"/>
        </w:rPr>
        <w:t>;</w:t>
      </w:r>
      <w:r>
        <w:rPr>
          <w:rFonts w:hint="eastAsia" w:ascii="仿宋_GB2312" w:hAnsi="Times New Roman" w:eastAsia="仿宋_GB2312" w:cs="Times New Roman"/>
          <w:color w:val="auto"/>
          <w:sz w:val="32"/>
          <w:szCs w:val="32"/>
        </w:rPr>
        <w:t>组织实施全县国民经济核算制度和投入产出调查</w:t>
      </w:r>
      <w:r>
        <w:rPr>
          <w:rFonts w:hint="eastAsia" w:ascii="仿宋_GB2312" w:hAnsi="Times New Roman" w:eastAsia="仿宋_GB2312" w:cs="Times New Roman"/>
          <w:color w:val="auto"/>
          <w:sz w:val="32"/>
          <w:szCs w:val="32"/>
          <w:lang w:val="en-US" w:eastAsia="zh-CN"/>
        </w:rPr>
        <w:t>;</w:t>
      </w:r>
      <w:r>
        <w:rPr>
          <w:rFonts w:hint="eastAsia" w:ascii="仿宋_GB2312" w:hAnsi="Times New Roman" w:eastAsia="仿宋_GB2312" w:cs="Times New Roman"/>
          <w:color w:val="auto"/>
          <w:sz w:val="32"/>
          <w:szCs w:val="32"/>
        </w:rPr>
        <w:t>组织实施农林牧渔业、工业、建筑业、批发和零售业、住宿和餐饮业、房地产业、城乡居民收入</w:t>
      </w:r>
      <w:r>
        <w:rPr>
          <w:rFonts w:hint="eastAsia" w:ascii="仿宋_GB2312" w:hAnsi="Times New Roman" w:eastAsia="仿宋_GB2312" w:cs="Times New Roman"/>
          <w:color w:val="auto"/>
          <w:sz w:val="32"/>
          <w:szCs w:val="32"/>
          <w:lang w:eastAsia="zh-CN"/>
        </w:rPr>
        <w:t>、能源、投资、</w:t>
      </w:r>
      <w:r>
        <w:rPr>
          <w:rFonts w:hint="eastAsia" w:ascii="仿宋_GB2312" w:hAnsi="Times New Roman" w:eastAsia="仿宋_GB2312" w:cs="Times New Roman"/>
          <w:color w:val="auto"/>
          <w:sz w:val="32"/>
          <w:szCs w:val="32"/>
        </w:rPr>
        <w:t>科技、人口、劳动力、社会发展基本情况等统计调查</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依法备案各镇、各部门统计调查项目</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建立并管理全县统计信息化系统和统计数据库系统</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 xml:space="preserve">完成县委、县政府和市统计局交办的其他任务。  </w:t>
      </w:r>
      <w:bookmarkEnd w:id="0"/>
    </w:p>
    <w:p>
      <w:pPr>
        <w:numPr>
          <w:ilvl w:val="0"/>
          <w:numId w:val="1"/>
        </w:num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项目实施主要内容及实施程序。</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城乡一体化住户调查是国家统计工作的重大改革举措之一。是为了整合住户调查资源，建立统计指标规范、抽样科学严谨、手段高效便捷、调查扎实可靠、发布公开透明的住户调查新体系，准确完整地反映全体居民收入、支出以及家庭就业、消费、住房等情况，客观揭示城乡之间、地区之间和不同群体之间的收入差距及其变化，为促进城乡统筹发展和制定民生改善政策提供可靠科学依据。</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我县城乡一体化住户调查对全县抽中的120户产生的基础数据处理统计，这120户调查户是国家统计局按照统一的人口普查抽样框，采用分层次、分阶段随机抽样的方法抽选确定调查户。调查户选定后，要求每户调查户按每天实际发生的收入和支出逐笔记录，做到日清月结，不重不漏。每季度辅助调查员采用问卷的方式，完成每户的家庭住户成员及劳动力从业、住房、耐用消费品拥有情况及生产经营投资情况表填报，然后由县统计局通过加权汇总得出全县季度人均可支配收入，最后上级部门根据我们的基层数据对其进行评估认定。</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（三）综述项目自评等级和分数，并对照佐证材料逐一分析。</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自评等级是：优，自评分数是：97分。</w:t>
      </w:r>
    </w:p>
    <w:p>
      <w:pPr>
        <w:spacing w:line="360" w:lineRule="auto"/>
        <w:ind w:firstLine="640" w:firstLineChars="200"/>
        <w:rPr>
          <w:rFonts w:ascii="仿宋_GB2312" w:eastAsia="仿宋_GB2312"/>
          <w:color w:val="auto"/>
          <w:sz w:val="32"/>
          <w:szCs w:val="32"/>
        </w:rPr>
      </w:pPr>
      <w:r>
        <w:rPr>
          <w:rFonts w:hint="eastAsia" w:ascii="仿宋_GB2312" w:eastAsia="仿宋_GB2312"/>
          <w:color w:val="auto"/>
          <w:sz w:val="32"/>
          <w:szCs w:val="32"/>
        </w:rPr>
        <w:t>（一）资金使用绩效。</w:t>
      </w:r>
    </w:p>
    <w:p>
      <w:p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1、项目资金实际总投入情况。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default" w:ascii="仿宋_GB2312" w:hAnsi="å®‹ä½“" w:eastAsia="仿宋_GB2312" w:cs="仿宋_GB2312"/>
          <w:i w:val="0"/>
          <w:caps w:val="0"/>
          <w:color w:val="auto"/>
          <w:spacing w:val="0"/>
          <w:kern w:val="0"/>
          <w:sz w:val="32"/>
          <w:szCs w:val="32"/>
          <w:lang w:val="en-US" w:eastAsia="zh-CN" w:bidi="ar"/>
        </w:rPr>
        <w:t>城乡一体化住户调查项目20</w:t>
      </w:r>
      <w:r>
        <w:rPr>
          <w:rFonts w:hint="eastAsia" w:ascii="仿宋_GB2312" w:hAnsi="å®‹ä½“" w:eastAsia="仿宋_GB2312" w:cs="仿宋_GB2312"/>
          <w:i w:val="0"/>
          <w:caps w:val="0"/>
          <w:color w:val="auto"/>
          <w:spacing w:val="0"/>
          <w:kern w:val="0"/>
          <w:sz w:val="32"/>
          <w:szCs w:val="32"/>
          <w:lang w:val="en-US" w:eastAsia="zh-CN" w:bidi="ar"/>
        </w:rPr>
        <w:t>21</w:t>
      </w:r>
      <w:r>
        <w:rPr>
          <w:rFonts w:hint="default" w:ascii="仿宋_GB2312" w:hAnsi="å®‹ä½“" w:eastAsia="仿宋_GB2312" w:cs="仿宋_GB2312"/>
          <w:i w:val="0"/>
          <w:caps w:val="0"/>
          <w:color w:val="auto"/>
          <w:spacing w:val="0"/>
          <w:kern w:val="0"/>
          <w:sz w:val="32"/>
          <w:szCs w:val="32"/>
          <w:lang w:val="en-US" w:eastAsia="zh-CN" w:bidi="ar"/>
        </w:rPr>
        <w:t>年总投入为</w:t>
      </w:r>
      <w:r>
        <w:rPr>
          <w:rFonts w:hint="eastAsia" w:ascii="仿宋_GB2312" w:hAnsi="å®‹ä½“" w:eastAsia="仿宋_GB2312" w:cs="仿宋_GB2312"/>
          <w:i w:val="0"/>
          <w:caps w:val="0"/>
          <w:color w:val="auto"/>
          <w:spacing w:val="0"/>
          <w:kern w:val="0"/>
          <w:sz w:val="32"/>
          <w:szCs w:val="32"/>
          <w:lang w:val="en-US" w:eastAsia="zh-CN" w:bidi="ar"/>
        </w:rPr>
        <w:t>18</w:t>
      </w:r>
      <w:r>
        <w:rPr>
          <w:rFonts w:hint="default" w:ascii="仿宋_GB2312" w:hAnsi="å®‹ä½“" w:eastAsia="仿宋_GB2312" w:cs="仿宋_GB2312"/>
          <w:i w:val="0"/>
          <w:caps w:val="0"/>
          <w:color w:val="auto"/>
          <w:spacing w:val="0"/>
          <w:kern w:val="0"/>
          <w:sz w:val="32"/>
          <w:szCs w:val="32"/>
          <w:lang w:val="en-US" w:eastAsia="zh-CN" w:bidi="ar"/>
        </w:rPr>
        <w:t>万元</w:t>
      </w:r>
      <w:r>
        <w:rPr>
          <w:rFonts w:hint="eastAsia" w:ascii="仿宋_GB2312" w:hAnsi="å®‹ä½“" w:eastAsia="仿宋_GB2312" w:cs="仿宋_GB2312"/>
          <w:i w:val="0"/>
          <w:caps w:val="0"/>
          <w:color w:val="auto"/>
          <w:spacing w:val="0"/>
          <w:kern w:val="0"/>
          <w:sz w:val="32"/>
          <w:szCs w:val="32"/>
          <w:lang w:val="en-US" w:eastAsia="zh-CN" w:bidi="ar"/>
        </w:rPr>
        <w:t>。据乳</w:t>
      </w:r>
      <w:r>
        <w:rPr>
          <w:rFonts w:hint="default" w:ascii="仿宋_GB2312" w:hAnsi="å®‹ä½“" w:eastAsia="仿宋_GB2312" w:cs="仿宋_GB2312"/>
          <w:i w:val="0"/>
          <w:caps w:val="0"/>
          <w:color w:val="auto"/>
          <w:spacing w:val="0"/>
          <w:kern w:val="0"/>
          <w:sz w:val="32"/>
          <w:szCs w:val="32"/>
          <w:lang w:val="en-US" w:eastAsia="zh-CN" w:bidi="ar"/>
        </w:rPr>
        <w:t>财［20</w:t>
      </w:r>
      <w:r>
        <w:rPr>
          <w:rFonts w:hint="eastAsia" w:ascii="仿宋_GB2312" w:hAnsi="å®‹ä½“" w:eastAsia="仿宋_GB2312" w:cs="仿宋_GB2312"/>
          <w:i w:val="0"/>
          <w:caps w:val="0"/>
          <w:color w:val="auto"/>
          <w:spacing w:val="0"/>
          <w:kern w:val="0"/>
          <w:sz w:val="32"/>
          <w:szCs w:val="32"/>
          <w:lang w:val="en-US" w:eastAsia="zh-CN" w:bidi="ar"/>
        </w:rPr>
        <w:t>21</w:t>
      </w:r>
      <w:r>
        <w:rPr>
          <w:rFonts w:hint="default" w:ascii="仿宋_GB2312" w:hAnsi="å®‹ä½“" w:eastAsia="仿宋_GB2312" w:cs="仿宋_GB2312"/>
          <w:i w:val="0"/>
          <w:caps w:val="0"/>
          <w:color w:val="auto"/>
          <w:spacing w:val="0"/>
          <w:kern w:val="0"/>
          <w:sz w:val="32"/>
          <w:szCs w:val="32"/>
          <w:lang w:val="en-US" w:eastAsia="zh-CN" w:bidi="ar"/>
        </w:rPr>
        <w:t>］</w:t>
      </w:r>
      <w:r>
        <w:rPr>
          <w:rFonts w:hint="eastAsia" w:ascii="仿宋_GB2312" w:hAnsi="å®‹ä½“" w:eastAsia="仿宋_GB2312" w:cs="仿宋_GB2312"/>
          <w:i w:val="0"/>
          <w:caps w:val="0"/>
          <w:color w:val="auto"/>
          <w:spacing w:val="0"/>
          <w:kern w:val="0"/>
          <w:sz w:val="32"/>
          <w:szCs w:val="32"/>
          <w:lang w:val="en-US" w:eastAsia="zh-CN" w:bidi="ar"/>
        </w:rPr>
        <w:t>4</w:t>
      </w:r>
      <w:r>
        <w:rPr>
          <w:rFonts w:hint="default" w:ascii="仿宋_GB2312" w:hAnsi="å®‹ä½“" w:eastAsia="仿宋_GB2312" w:cs="仿宋_GB2312"/>
          <w:i w:val="0"/>
          <w:caps w:val="0"/>
          <w:color w:val="auto"/>
          <w:spacing w:val="0"/>
          <w:kern w:val="0"/>
          <w:sz w:val="32"/>
          <w:szCs w:val="32"/>
          <w:lang w:val="en-US" w:eastAsia="zh-CN" w:bidi="ar"/>
        </w:rPr>
        <w:t>号下拨项目资金累计</w:t>
      </w:r>
      <w:r>
        <w:rPr>
          <w:rFonts w:hint="eastAsia" w:ascii="仿宋_GB2312" w:hAnsi="å®‹ä½“" w:eastAsia="仿宋_GB2312" w:cs="仿宋_GB2312"/>
          <w:i w:val="0"/>
          <w:caps w:val="0"/>
          <w:color w:val="auto"/>
          <w:spacing w:val="0"/>
          <w:kern w:val="0"/>
          <w:sz w:val="32"/>
          <w:szCs w:val="32"/>
          <w:lang w:val="en-US" w:eastAsia="zh-CN" w:bidi="ar"/>
        </w:rPr>
        <w:t>18</w:t>
      </w:r>
      <w:r>
        <w:rPr>
          <w:rFonts w:hint="default" w:ascii="仿宋_GB2312" w:hAnsi="å®‹ä½“" w:eastAsia="仿宋_GB2312" w:cs="仿宋_GB2312"/>
          <w:i w:val="0"/>
          <w:caps w:val="0"/>
          <w:color w:val="auto"/>
          <w:spacing w:val="0"/>
          <w:kern w:val="0"/>
          <w:sz w:val="32"/>
          <w:szCs w:val="32"/>
          <w:lang w:val="en-US" w:eastAsia="zh-CN" w:bidi="ar"/>
        </w:rPr>
        <w:t>万元全部到位，资金到位率100%，实际支出</w:t>
      </w:r>
      <w:r>
        <w:rPr>
          <w:rFonts w:hint="eastAsia" w:ascii="仿宋_GB2312" w:hAnsi="å®‹ä½“" w:eastAsia="仿宋_GB2312" w:cs="仿宋_GB2312"/>
          <w:i w:val="0"/>
          <w:caps w:val="0"/>
          <w:color w:val="auto"/>
          <w:spacing w:val="0"/>
          <w:kern w:val="0"/>
          <w:sz w:val="32"/>
          <w:szCs w:val="32"/>
          <w:lang w:val="en-US" w:eastAsia="zh-CN" w:bidi="ar"/>
        </w:rPr>
        <w:t>18</w:t>
      </w:r>
      <w:r>
        <w:rPr>
          <w:rFonts w:hint="default" w:ascii="仿宋_GB2312" w:hAnsi="å®‹ä½“" w:eastAsia="仿宋_GB2312" w:cs="仿宋_GB2312"/>
          <w:i w:val="0"/>
          <w:caps w:val="0"/>
          <w:color w:val="auto"/>
          <w:spacing w:val="0"/>
          <w:kern w:val="0"/>
          <w:sz w:val="32"/>
          <w:szCs w:val="32"/>
          <w:lang w:val="en-US" w:eastAsia="zh-CN" w:bidi="ar"/>
        </w:rPr>
        <w:t>万元，资金使用率100%。</w:t>
      </w:r>
    </w:p>
    <w:p>
      <w:p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2、项目资金实际支出情况，具体详细说明。</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å®‹ä½“" w:eastAsia="仿宋_GB2312" w:cs="仿宋_GB2312"/>
          <w:i w:val="0"/>
          <w:caps w:val="0"/>
          <w:color w:val="auto"/>
          <w:spacing w:val="0"/>
          <w:kern w:val="0"/>
          <w:sz w:val="32"/>
          <w:szCs w:val="32"/>
          <w:lang w:val="en-US" w:eastAsia="zh-CN" w:bidi="ar"/>
        </w:rPr>
      </w:pPr>
      <w:r>
        <w:rPr>
          <w:rFonts w:hint="default" w:ascii="仿宋_GB2312" w:hAnsi="å®‹ä½“" w:eastAsia="仿宋_GB2312" w:cs="仿宋_GB2312"/>
          <w:b w:val="0"/>
          <w:bCs w:val="0"/>
          <w:i w:val="0"/>
          <w:caps w:val="0"/>
          <w:color w:val="auto"/>
          <w:spacing w:val="0"/>
          <w:kern w:val="0"/>
          <w:sz w:val="32"/>
          <w:szCs w:val="32"/>
          <w:lang w:val="en-US" w:eastAsia="zh-CN" w:bidi="ar"/>
        </w:rPr>
        <w:t>2021</w:t>
      </w:r>
      <w:r>
        <w:rPr>
          <w:rFonts w:hint="eastAsia" w:ascii="仿宋_GB2312" w:hAnsi="å®‹ä½“" w:eastAsia="仿宋_GB2312" w:cs="仿宋_GB2312"/>
          <w:b w:val="0"/>
          <w:bCs w:val="0"/>
          <w:i w:val="0"/>
          <w:caps w:val="0"/>
          <w:color w:val="auto"/>
          <w:spacing w:val="0"/>
          <w:kern w:val="0"/>
          <w:sz w:val="32"/>
          <w:szCs w:val="32"/>
          <w:lang w:val="en-US" w:eastAsia="zh-CN" w:bidi="ar"/>
        </w:rPr>
        <w:t>年</w:t>
      </w:r>
      <w:r>
        <w:rPr>
          <w:rFonts w:hint="default" w:ascii="仿宋_GB2312" w:hAnsi="å®‹ä½“" w:eastAsia="仿宋_GB2312" w:cs="仿宋_GB2312"/>
          <w:i w:val="0"/>
          <w:caps w:val="0"/>
          <w:color w:val="auto"/>
          <w:spacing w:val="0"/>
          <w:kern w:val="0"/>
          <w:sz w:val="32"/>
          <w:szCs w:val="32"/>
          <w:lang w:val="en-US" w:eastAsia="zh-CN" w:bidi="ar"/>
        </w:rPr>
        <w:t>城乡一体化住户调查项目</w:t>
      </w:r>
      <w:r>
        <w:rPr>
          <w:rFonts w:hint="default" w:ascii="仿宋_GB2312" w:hAnsi="å®‹ä½“" w:eastAsia="仿宋_GB2312" w:cs="仿宋_GB2312"/>
          <w:b w:val="0"/>
          <w:bCs w:val="0"/>
          <w:i w:val="0"/>
          <w:caps w:val="0"/>
          <w:color w:val="auto"/>
          <w:spacing w:val="0"/>
          <w:kern w:val="0"/>
          <w:sz w:val="32"/>
          <w:szCs w:val="32"/>
          <w:lang w:val="en-US" w:eastAsia="zh-CN" w:bidi="ar"/>
        </w:rPr>
        <w:t>实际支出</w:t>
      </w:r>
      <w:r>
        <w:rPr>
          <w:rFonts w:hint="eastAsia" w:ascii="仿宋_GB2312" w:hAnsi="å®‹ä½“" w:eastAsia="仿宋_GB2312" w:cs="仿宋_GB2312"/>
          <w:b w:val="0"/>
          <w:bCs w:val="0"/>
          <w:i w:val="0"/>
          <w:caps w:val="0"/>
          <w:color w:val="auto"/>
          <w:spacing w:val="0"/>
          <w:kern w:val="0"/>
          <w:sz w:val="32"/>
          <w:szCs w:val="32"/>
          <w:lang w:val="en-US" w:eastAsia="zh-CN" w:bidi="ar"/>
        </w:rPr>
        <w:t>18</w:t>
      </w:r>
      <w:r>
        <w:rPr>
          <w:rFonts w:hint="default" w:ascii="仿宋_GB2312" w:hAnsi="å®‹ä½“" w:eastAsia="仿宋_GB2312" w:cs="仿宋_GB2312"/>
          <w:b w:val="0"/>
          <w:bCs w:val="0"/>
          <w:i w:val="0"/>
          <w:caps w:val="0"/>
          <w:color w:val="auto"/>
          <w:spacing w:val="0"/>
          <w:kern w:val="0"/>
          <w:sz w:val="32"/>
          <w:szCs w:val="32"/>
          <w:lang w:val="en-US" w:eastAsia="zh-CN" w:bidi="ar"/>
        </w:rPr>
        <w:t>万元，资金使用率</w:t>
      </w:r>
      <w:r>
        <w:rPr>
          <w:rFonts w:hint="eastAsia" w:ascii="仿宋_GB2312" w:hAnsi="å®‹ä½“" w:eastAsia="仿宋_GB2312" w:cs="仿宋_GB2312"/>
          <w:b w:val="0"/>
          <w:bCs w:val="0"/>
          <w:i w:val="0"/>
          <w:caps w:val="0"/>
          <w:color w:val="auto"/>
          <w:spacing w:val="0"/>
          <w:kern w:val="0"/>
          <w:sz w:val="32"/>
          <w:szCs w:val="32"/>
          <w:lang w:val="en-US" w:eastAsia="zh-CN" w:bidi="ar"/>
        </w:rPr>
        <w:t>100</w:t>
      </w:r>
      <w:r>
        <w:rPr>
          <w:rFonts w:hint="default" w:ascii="仿宋_GB2312" w:hAnsi="å®‹ä½“" w:eastAsia="仿宋_GB2312" w:cs="仿宋_GB2312"/>
          <w:b w:val="0"/>
          <w:bCs w:val="0"/>
          <w:i w:val="0"/>
          <w:caps w:val="0"/>
          <w:color w:val="auto"/>
          <w:spacing w:val="0"/>
          <w:kern w:val="0"/>
          <w:sz w:val="32"/>
          <w:szCs w:val="32"/>
          <w:lang w:val="en-US" w:eastAsia="zh-CN" w:bidi="ar"/>
        </w:rPr>
        <w:t>%。</w:t>
      </w:r>
      <w:r>
        <w:rPr>
          <w:rFonts w:hint="eastAsia" w:ascii="仿宋_GB2312" w:hAnsi="å®‹ä½“" w:eastAsia="仿宋_GB2312" w:cs="仿宋_GB2312"/>
          <w:b w:val="0"/>
          <w:bCs w:val="0"/>
          <w:i w:val="0"/>
          <w:caps w:val="0"/>
          <w:color w:val="auto"/>
          <w:spacing w:val="0"/>
          <w:kern w:val="0"/>
          <w:sz w:val="32"/>
          <w:szCs w:val="32"/>
          <w:lang w:val="en-US" w:eastAsia="zh-CN" w:bidi="ar"/>
        </w:rPr>
        <w:t>主要用于</w:t>
      </w:r>
      <w:r>
        <w:rPr>
          <w:rFonts w:hint="eastAsia" w:ascii="仿宋_GB2312" w:hAnsi="å®‹ä½“" w:eastAsia="仿宋_GB2312" w:cs="仿宋_GB2312"/>
          <w:i w:val="0"/>
          <w:caps w:val="0"/>
          <w:color w:val="auto"/>
          <w:spacing w:val="0"/>
          <w:kern w:val="0"/>
          <w:sz w:val="32"/>
          <w:szCs w:val="32"/>
          <w:lang w:val="en-US" w:eastAsia="zh-CN" w:bidi="ar"/>
        </w:rPr>
        <w:t>城乡一体化调查员劳务费支出金额16.02万元；城乡一体化宣传用品支出1.98万元。</w:t>
      </w:r>
    </w:p>
    <w:p>
      <w:pPr>
        <w:numPr>
          <w:ilvl w:val="0"/>
          <w:numId w:val="2"/>
        </w:num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项目的绩效目标</w:t>
      </w:r>
      <w:r>
        <w:rPr>
          <w:rFonts w:hint="eastAsia" w:ascii="仿宋_GB2312" w:hAnsi="仿宋_GB2312" w:eastAsia="仿宋_GB2312"/>
          <w:color w:val="auto"/>
          <w:sz w:val="32"/>
          <w:szCs w:val="32"/>
          <w:lang w:val="en-US" w:eastAsia="zh-CN"/>
        </w:rPr>
        <w:t>完成情况</w:t>
      </w:r>
      <w:r>
        <w:rPr>
          <w:rFonts w:hint="eastAsia" w:ascii="仿宋_GB2312" w:hAnsi="仿宋_GB2312" w:eastAsia="仿宋_GB2312"/>
          <w:color w:val="auto"/>
          <w:sz w:val="32"/>
          <w:szCs w:val="32"/>
        </w:rPr>
        <w:t>（经济、政治和社会效益）。</w:t>
      </w:r>
    </w:p>
    <w:p>
      <w:pPr>
        <w:numPr>
          <w:ilvl w:val="0"/>
          <w:numId w:val="0"/>
        </w:numPr>
        <w:spacing w:line="360" w:lineRule="auto"/>
        <w:ind w:firstLine="640" w:firstLineChars="200"/>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按时发放城乡一体化住户调查调查员补助，积极支持配合上级统计调查部门组织实施住户调查工作,提高统计调查员的积极性，切实提高我县城乡一体化住户调查数据质量。</w:t>
      </w:r>
    </w:p>
    <w:p>
      <w:pPr>
        <w:numPr>
          <w:ilvl w:val="0"/>
          <w:numId w:val="2"/>
        </w:numPr>
        <w:spacing w:line="360" w:lineRule="auto"/>
        <w:ind w:left="0" w:leftChars="0" w:firstLine="640" w:firstLineChars="200"/>
        <w:rPr>
          <w:color w:val="auto"/>
          <w:sz w:val="32"/>
          <w:szCs w:val="32"/>
        </w:rPr>
      </w:pPr>
      <w:r>
        <w:rPr>
          <w:rFonts w:hint="eastAsia" w:ascii="仿宋_GB2312" w:hAnsi="仿宋_GB2312" w:eastAsia="仿宋_GB2312"/>
          <w:color w:val="auto"/>
          <w:sz w:val="32"/>
          <w:szCs w:val="32"/>
        </w:rPr>
        <w:t>项目资金使用效益，对环境、经济、社会的可持续影响。</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城乡一体化住户调查是统计调查的重要组成部分，由调查获得的城镇居民可支配收入、消费支出、恩格尔系数等是反映社会经济发展和监测国民经济运行情况的重要指标，是国民经济核算的重要基础资料。</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（二）存在问题。</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无。</w:t>
      </w: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三、改进意见</w:t>
      </w:r>
    </w:p>
    <w:p>
      <w:pPr>
        <w:spacing w:line="360" w:lineRule="auto"/>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无。</w:t>
      </w:r>
    </w:p>
    <w:p>
      <w:pPr>
        <w:spacing w:line="360" w:lineRule="auto"/>
        <w:ind w:firstLine="640" w:firstLineChars="200"/>
        <w:rPr>
          <w:rFonts w:hint="eastAsia" w:ascii="黑体" w:eastAsia="黑体"/>
          <w:color w:val="auto"/>
          <w:sz w:val="32"/>
          <w:szCs w:val="32"/>
        </w:rPr>
      </w:pPr>
      <w:r>
        <w:rPr>
          <w:rFonts w:hint="eastAsia" w:ascii="黑体" w:eastAsia="黑体"/>
          <w:color w:val="auto"/>
          <w:sz w:val="32"/>
          <w:szCs w:val="32"/>
          <w:lang w:eastAsia="zh-CN"/>
        </w:rPr>
        <w:t>四、</w:t>
      </w:r>
      <w:r>
        <w:rPr>
          <w:rFonts w:hint="eastAsia" w:ascii="黑体" w:eastAsia="黑体"/>
          <w:color w:val="auto"/>
          <w:sz w:val="32"/>
          <w:szCs w:val="32"/>
        </w:rPr>
        <w:t>其他需要说明的情况</w:t>
      </w:r>
    </w:p>
    <w:p>
      <w:pPr>
        <w:spacing w:line="360" w:lineRule="auto"/>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无。</w:t>
      </w:r>
    </w:p>
    <w:p>
      <w:pPr>
        <w:spacing w:line="360" w:lineRule="auto"/>
        <w:ind w:firstLine="640" w:firstLineChars="200"/>
        <w:rPr>
          <w:rFonts w:hint="eastAsia" w:ascii="仿宋_GB2312" w:eastAsia="仿宋_GB2312"/>
          <w:color w:val="auto"/>
          <w:sz w:val="32"/>
          <w:szCs w:val="32"/>
          <w:lang w:val="en-US" w:eastAsia="zh-CN"/>
        </w:rPr>
      </w:pPr>
    </w:p>
    <w:p>
      <w:pPr>
        <w:spacing w:line="360" w:lineRule="auto"/>
        <w:ind w:firstLine="640" w:firstLineChars="200"/>
        <w:rPr>
          <w:rFonts w:hint="eastAsia" w:ascii="仿宋_GB2312" w:eastAsia="仿宋_GB2312"/>
          <w:color w:val="auto"/>
          <w:sz w:val="32"/>
          <w:szCs w:val="32"/>
          <w:lang w:val="en-US" w:eastAsia="zh-CN"/>
        </w:rPr>
      </w:pPr>
    </w:p>
    <w:p>
      <w:pPr>
        <w:spacing w:line="360" w:lineRule="auto"/>
        <w:ind w:firstLine="4480" w:firstLineChars="14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乳源瑶族自治县统计局</w:t>
      </w:r>
    </w:p>
    <w:p>
      <w:pPr>
        <w:spacing w:line="360" w:lineRule="auto"/>
        <w:ind w:firstLine="4800" w:firstLineChars="150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2022年4月15日</w:t>
      </w:r>
    </w:p>
    <w:p>
      <w:pPr>
        <w:pStyle w:val="2"/>
        <w:rPr>
          <w:rFonts w:hint="eastAsia"/>
          <w:color w:val="auto"/>
          <w:lang w:eastAsia="zh-CN"/>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å®‹ä½“">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3B17D"/>
    <w:multiLevelType w:val="singleLevel"/>
    <w:tmpl w:val="9113B17D"/>
    <w:lvl w:ilvl="0" w:tentative="0">
      <w:start w:val="2"/>
      <w:numFmt w:val="chineseCounting"/>
      <w:suff w:val="nothing"/>
      <w:lvlText w:val="（%1）"/>
      <w:lvlJc w:val="left"/>
      <w:rPr>
        <w:rFonts w:hint="eastAsia"/>
      </w:rPr>
    </w:lvl>
  </w:abstractNum>
  <w:abstractNum w:abstractNumId="1">
    <w:nsid w:val="0F27C121"/>
    <w:multiLevelType w:val="singleLevel"/>
    <w:tmpl w:val="0F27C121"/>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B396CA0"/>
    <w:rsid w:val="0BC455CC"/>
    <w:rsid w:val="0F7765E6"/>
    <w:rsid w:val="1BEA0FB0"/>
    <w:rsid w:val="1CFD427E"/>
    <w:rsid w:val="238052EF"/>
    <w:rsid w:val="2A0C3112"/>
    <w:rsid w:val="2E387A0C"/>
    <w:rsid w:val="321C1B00"/>
    <w:rsid w:val="35EB1834"/>
    <w:rsid w:val="384D132C"/>
    <w:rsid w:val="39921607"/>
    <w:rsid w:val="414321F0"/>
    <w:rsid w:val="42A717C3"/>
    <w:rsid w:val="468762A1"/>
    <w:rsid w:val="4B4F28B6"/>
    <w:rsid w:val="5375086E"/>
    <w:rsid w:val="54086CE5"/>
    <w:rsid w:val="5BAA4B6B"/>
    <w:rsid w:val="7329156C"/>
    <w:rsid w:val="7D993E43"/>
    <w:rsid w:val="7F614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链接"/>
    <w:qFormat/>
    <w:uiPriority w:val="0"/>
    <w:pPr>
      <w:widowControl w:val="0"/>
      <w:autoSpaceDE w:val="0"/>
      <w:autoSpaceDN w:val="0"/>
      <w:adjustRightInd w:val="0"/>
      <w:ind w:left="720"/>
      <w:textAlignment w:val="baseline"/>
    </w:pPr>
    <w:rPr>
      <w:rFonts w:ascii="Times New Roman" w:hAnsi="Times New Roman" w:eastAsia="宋体" w:cs="Times New Roman"/>
      <w:color w:val="0000FF"/>
      <w:sz w:val="21"/>
      <w:u w:val="single"/>
      <w:lang w:val="en-US" w:eastAsia="zh-CN" w:bidi="ar-SA"/>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996</Words>
  <Characters>1030</Characters>
  <Lines>1</Lines>
  <Paragraphs>1</Paragraphs>
  <TotalTime>40</TotalTime>
  <ScaleCrop>false</ScaleCrop>
  <LinksUpToDate>false</LinksUpToDate>
  <CharactersWithSpaces>1032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R</cp:lastModifiedBy>
  <cp:lastPrinted>2018-10-25T02:57:00Z</cp:lastPrinted>
  <dcterms:modified xsi:type="dcterms:W3CDTF">2022-04-08T08:48:22Z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F1CEBF6B2ECA4B9094484301744B28A5</vt:lpwstr>
  </property>
</Properties>
</file>