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人口变动抽样调查财政支出项目绩效自评报告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rPr>
      </w:pPr>
      <w:r>
        <w:rPr>
          <w:rFonts w:hint="default" w:ascii="仿宋_GB2312" w:eastAsia="仿宋_GB2312"/>
          <w:color w:val="auto"/>
          <w:sz w:val="32"/>
          <w:szCs w:val="32"/>
        </w:rPr>
        <w:t>乳源瑶族自治县统计局</w:t>
      </w:r>
      <w:r>
        <w:rPr>
          <w:rFonts w:hint="eastAsia" w:ascii="仿宋_GB2312" w:eastAsia="仿宋_GB2312"/>
          <w:color w:val="auto"/>
          <w:sz w:val="32"/>
          <w:szCs w:val="32"/>
          <w:lang w:eastAsia="zh-CN"/>
        </w:rPr>
        <w:t>是一个正科级行政单位，包括</w:t>
      </w:r>
      <w:r>
        <w:rPr>
          <w:rFonts w:hint="eastAsia" w:ascii="仿宋_GB2312" w:eastAsia="仿宋_GB2312"/>
          <w:color w:val="auto"/>
          <w:sz w:val="32"/>
          <w:szCs w:val="32"/>
          <w:lang w:val="en-US" w:eastAsia="zh-CN"/>
        </w:rPr>
        <w:t>1个下属单位乳源瑶族自治县普查中心（非独立核算单位）</w:t>
      </w:r>
      <w:r>
        <w:rPr>
          <w:rFonts w:hint="eastAsia" w:ascii="仿宋_GB2312" w:eastAsia="仿宋_GB2312"/>
          <w:color w:val="auto"/>
          <w:sz w:val="32"/>
          <w:szCs w:val="32"/>
          <w:lang w:eastAsia="zh-CN"/>
        </w:rPr>
        <w:t>，</w:t>
      </w:r>
      <w:r>
        <w:rPr>
          <w:rFonts w:hint="eastAsia" w:ascii="仿宋_GB2312" w:hAnsi="Times New Roman" w:eastAsia="仿宋_GB2312" w:cs="Times New Roman"/>
          <w:sz w:val="32"/>
          <w:szCs w:val="32"/>
          <w:lang w:eastAsia="zh-CN"/>
        </w:rPr>
        <w:t>其</w:t>
      </w:r>
      <w:r>
        <w:rPr>
          <w:rFonts w:hint="eastAsia" w:ascii="仿宋_GB2312" w:hAnsi="Times New Roman" w:eastAsia="仿宋_GB2312" w:cs="Times New Roman"/>
          <w:sz w:val="32"/>
          <w:szCs w:val="32"/>
        </w:rPr>
        <w:t>主要职责</w:t>
      </w:r>
      <w:bookmarkStart w:id="0" w:name="PO_part1Responsibilities"/>
      <w:r>
        <w:rPr>
          <w:rFonts w:hint="eastAsia" w:ascii="仿宋_GB2312" w:hAnsi="Times New Roman" w:eastAsia="仿宋_GB2312" w:cs="Times New Roman"/>
          <w:sz w:val="32"/>
          <w:szCs w:val="32"/>
          <w:lang w:eastAsia="zh-CN"/>
        </w:rPr>
        <w:t>：贯彻执行国家和省、市有关统计工作的方针政策、法律法规和方法</w:t>
      </w:r>
      <w:r>
        <w:rPr>
          <w:rFonts w:hint="eastAsia" w:ascii="仿宋_GB2312" w:hAnsi="Times New Roman" w:eastAsia="仿宋_GB2312" w:cs="Times New Roman"/>
          <w:sz w:val="32"/>
          <w:szCs w:val="32"/>
        </w:rPr>
        <w:t>制度</w:t>
      </w:r>
      <w:r>
        <w:rPr>
          <w:rFonts w:hint="eastAsia" w:ascii="仿宋_GB2312" w:hAnsi="Times New Roman" w:eastAsia="仿宋_GB2312" w:cs="Times New Roman"/>
          <w:sz w:val="32"/>
          <w:szCs w:val="32"/>
          <w:lang w:val="en-US" w:eastAsia="zh-CN"/>
        </w:rPr>
        <w:t>;</w:t>
      </w:r>
      <w:r>
        <w:rPr>
          <w:rFonts w:hint="eastAsia" w:ascii="仿宋_GB2312" w:hAnsi="Times New Roman" w:eastAsia="仿宋_GB2312" w:cs="Times New Roman"/>
          <w:sz w:val="32"/>
          <w:szCs w:val="32"/>
        </w:rPr>
        <w:t>组织实施全县国民经济核算制度和投入产出调查</w:t>
      </w:r>
      <w:r>
        <w:rPr>
          <w:rFonts w:hint="eastAsia" w:ascii="仿宋_GB2312" w:hAnsi="Times New Roman" w:eastAsia="仿宋_GB2312" w:cs="Times New Roman"/>
          <w:sz w:val="32"/>
          <w:szCs w:val="32"/>
          <w:lang w:val="en-US" w:eastAsia="zh-CN"/>
        </w:rPr>
        <w:t>;</w:t>
      </w:r>
      <w:r>
        <w:rPr>
          <w:rFonts w:hint="eastAsia" w:ascii="仿宋_GB2312" w:hAnsi="Times New Roman" w:eastAsia="仿宋_GB2312" w:cs="Times New Roman"/>
          <w:sz w:val="32"/>
          <w:szCs w:val="32"/>
        </w:rPr>
        <w:t>组织实施农林牧渔业、工业、建筑业、批发和零售业、住宿和餐饮业、房地产业、城乡居民收入</w:t>
      </w:r>
      <w:r>
        <w:rPr>
          <w:rFonts w:hint="eastAsia" w:ascii="仿宋_GB2312" w:hAnsi="Times New Roman" w:eastAsia="仿宋_GB2312" w:cs="Times New Roman"/>
          <w:sz w:val="32"/>
          <w:szCs w:val="32"/>
          <w:lang w:eastAsia="zh-CN"/>
        </w:rPr>
        <w:t>、能源、投资、</w:t>
      </w:r>
      <w:r>
        <w:rPr>
          <w:rFonts w:hint="eastAsia" w:ascii="仿宋_GB2312" w:hAnsi="Times New Roman" w:eastAsia="仿宋_GB2312" w:cs="Times New Roman"/>
          <w:sz w:val="32"/>
          <w:szCs w:val="32"/>
        </w:rPr>
        <w:t>科技、人口、劳动力、社会发展基本情况等统计调查</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依法备案各镇、各部门统计调查项目</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建立并管理全县统计信息化系统和统计数据库系统</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 xml:space="preserve">完成县委、县政府和市统计局交办的其他任务。  </w:t>
      </w:r>
      <w:bookmarkEnd w:id="0"/>
    </w:p>
    <w:p>
      <w:pPr>
        <w:spacing w:line="360" w:lineRule="auto"/>
        <w:ind w:firstLine="640" w:firstLineChars="200"/>
        <w:rPr>
          <w:rFonts w:hint="eastAsia"/>
        </w:rPr>
      </w:pPr>
      <w:bookmarkStart w:id="1" w:name="_GoBack"/>
      <w:bookmarkEnd w:id="1"/>
      <w:r>
        <w:rPr>
          <w:rFonts w:hint="eastAsia" w:ascii="仿宋_GB2312" w:eastAsia="仿宋_GB2312"/>
          <w:sz w:val="32"/>
          <w:szCs w:val="32"/>
        </w:rPr>
        <w:t>（</w:t>
      </w:r>
      <w:r>
        <w:rPr>
          <w:rFonts w:hint="eastAsia" w:ascii="仿宋_GB2312" w:eastAsia="仿宋_GB2312"/>
          <w:sz w:val="32"/>
          <w:szCs w:val="32"/>
          <w:lang w:eastAsia="zh-CN"/>
        </w:rPr>
        <w:t>二</w:t>
      </w:r>
      <w:r>
        <w:rPr>
          <w:rFonts w:hint="eastAsia" w:ascii="仿宋_GB2312" w:eastAsia="仿宋_GB2312"/>
          <w:sz w:val="32"/>
          <w:szCs w:val="32"/>
        </w:rPr>
        <w:t>）</w:t>
      </w:r>
      <w:r>
        <w:rPr>
          <w:rFonts w:hint="eastAsia" w:ascii="仿宋_GB2312" w:eastAsia="仿宋_GB2312"/>
          <w:color w:val="auto"/>
          <w:sz w:val="32"/>
          <w:szCs w:val="32"/>
        </w:rPr>
        <w:t>项目实施主要内容及实施程序。</w:t>
      </w:r>
    </w:p>
    <w:p>
      <w:pPr>
        <w:spacing w:line="360" w:lineRule="auto"/>
        <w:ind w:firstLine="640" w:firstLineChars="200"/>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 xml:space="preserve">1.组织领导。本次调查在当地政府的领导下，以统计机构为主组织实施，并在基层组织的协助下，选派调查员到抽中的住房中进行登记。各级统计机构要积极争取有关部门的支持和配合，确保调查数据质量。 </w:t>
      </w:r>
    </w:p>
    <w:p>
      <w:pPr>
        <w:spacing w:line="360" w:lineRule="auto"/>
        <w:ind w:firstLine="640" w:firstLineChars="200"/>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 xml:space="preserve">2.调查指导员、调查员的选聘、培训与管理。调查指导员、调查员的选聘工作由县级统计机构负责。调查指导员、调查员主要从政府统计系统和基层组织人员中选调，也可从社会招聘，应尽可能保持调查员队伍的稳定。各级统计机构要加强对调查员的培训，尽可能减少培训层次，提升培训成效。各级统计机构要强化对调查员工作的监督检查。 </w:t>
      </w:r>
    </w:p>
    <w:p>
      <w:pPr>
        <w:spacing w:line="360" w:lineRule="auto"/>
        <w:ind w:firstLine="640" w:firstLineChars="200"/>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 xml:space="preserve">3.调查的宣传工作。为使调查工作顺利进行，各级统计机构和调查工作人员要向调查样本所在地政府领导做好宣传工作，讲明抽样调查的意义；要做好对被调查户的宣传工作，使他们解除思想顾虑，如实申报调查资料。 </w:t>
      </w:r>
    </w:p>
    <w:p>
      <w:pPr>
        <w:spacing w:line="360" w:lineRule="auto"/>
        <w:ind w:firstLine="640" w:firstLineChars="200"/>
        <w:rPr>
          <w:rFonts w:hint="eastAsia" w:ascii="仿宋_GB2312" w:hAnsi="å®‹ä½“" w:eastAsia="仿宋_GB2312" w:cs="仿宋_GB2312"/>
          <w:i w:val="0"/>
          <w:caps w:val="0"/>
          <w:color w:val="auto"/>
          <w:spacing w:val="0"/>
          <w:kern w:val="0"/>
          <w:sz w:val="32"/>
          <w:szCs w:val="32"/>
          <w:lang w:val="en-US" w:eastAsia="zh-CN" w:bidi="ar"/>
        </w:rPr>
      </w:pPr>
      <w:r>
        <w:rPr>
          <w:rFonts w:hint="eastAsia" w:ascii="仿宋_GB2312" w:hAnsi="å®‹ä½“" w:eastAsia="仿宋_GB2312" w:cs="仿宋_GB2312"/>
          <w:i w:val="0"/>
          <w:caps w:val="0"/>
          <w:color w:val="auto"/>
          <w:spacing w:val="0"/>
          <w:kern w:val="0"/>
          <w:sz w:val="32"/>
          <w:szCs w:val="32"/>
          <w:lang w:val="en-US" w:eastAsia="zh-CN" w:bidi="ar"/>
        </w:rPr>
        <w:t>4.调查登记与复查工作。调查登记采取调查员使用电子采集设备（PDA 或智能手机）入户询问、当场填报，或由调查对象网上自主填报的方式。调查员要按照要求，对所负责的区域开展入户登记工作，指导有意愿的调查对象完成网上自主填报，参考部门行政记录等资料开展议查、复查，确保普查登记真实准确、不重不漏。</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（三）</w:t>
      </w:r>
      <w:r>
        <w:rPr>
          <w:rFonts w:hint="eastAsia" w:ascii="仿宋_GB2312" w:eastAsia="仿宋_GB2312"/>
          <w:color w:val="auto"/>
          <w:sz w:val="32"/>
          <w:szCs w:val="32"/>
          <w:lang w:val="en-US" w:eastAsia="zh-CN"/>
        </w:rPr>
        <w:t>综</w:t>
      </w:r>
      <w:r>
        <w:rPr>
          <w:rFonts w:hint="eastAsia" w:ascii="仿宋_GB2312" w:eastAsia="仿宋_GB2312"/>
          <w:color w:val="auto"/>
          <w:sz w:val="32"/>
          <w:szCs w:val="32"/>
        </w:rPr>
        <w:t>述项目自评等级和分数，并对照佐证材料逐一分析。</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color w:val="auto"/>
        </w:rPr>
      </w:pPr>
      <w:r>
        <w:rPr>
          <w:rFonts w:hint="eastAsia" w:ascii="仿宋_GB2312" w:hAnsi="å®‹ä½“" w:eastAsia="仿宋_GB2312" w:cs="仿宋_GB2312"/>
          <w:i w:val="0"/>
          <w:caps w:val="0"/>
          <w:color w:val="auto"/>
          <w:spacing w:val="0"/>
          <w:kern w:val="0"/>
          <w:sz w:val="32"/>
          <w:szCs w:val="32"/>
          <w:lang w:val="en-US" w:eastAsia="zh-CN" w:bidi="ar"/>
        </w:rPr>
        <w:t>自评等级是：优，自评分数是：96分。</w:t>
      </w:r>
    </w:p>
    <w:p>
      <w:pPr>
        <w:spacing w:line="360" w:lineRule="auto"/>
        <w:ind w:firstLine="640" w:firstLineChars="200"/>
        <w:rPr>
          <w:rFonts w:ascii="黑体" w:eastAsia="黑体"/>
          <w:color w:val="auto"/>
          <w:sz w:val="32"/>
          <w:szCs w:val="32"/>
        </w:rPr>
      </w:pPr>
      <w:r>
        <w:rPr>
          <w:rFonts w:hint="eastAsia" w:ascii="黑体" w:eastAsia="黑体"/>
          <w:color w:val="auto"/>
          <w:sz w:val="32"/>
          <w:szCs w:val="32"/>
        </w:rPr>
        <w:t>二、绩效表现</w:t>
      </w:r>
    </w:p>
    <w:p>
      <w:pPr>
        <w:spacing w:line="360" w:lineRule="auto"/>
        <w:ind w:firstLine="640" w:firstLineChars="200"/>
        <w:rPr>
          <w:rFonts w:ascii="仿宋_GB2312" w:eastAsia="仿宋_GB2312"/>
          <w:color w:val="auto"/>
          <w:sz w:val="32"/>
          <w:szCs w:val="32"/>
        </w:rPr>
      </w:pPr>
      <w:r>
        <w:rPr>
          <w:rFonts w:hint="eastAsia" w:ascii="仿宋_GB2312" w:eastAsia="仿宋_GB2312"/>
          <w:color w:val="auto"/>
          <w:sz w:val="32"/>
          <w:szCs w:val="32"/>
        </w:rPr>
        <w:t>（一）资金使用绩效。</w:t>
      </w:r>
    </w:p>
    <w:p>
      <w:pPr>
        <w:spacing w:line="360" w:lineRule="auto"/>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1、项目资金实际总投入情况。</w:t>
      </w:r>
    </w:p>
    <w:p>
      <w:pPr>
        <w:spacing w:line="360" w:lineRule="auto"/>
        <w:ind w:firstLine="640" w:firstLineChars="200"/>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人口变动抽样调查项目20</w:t>
      </w:r>
      <w:r>
        <w:rPr>
          <w:rFonts w:hint="eastAsia" w:ascii="仿宋_GB2312" w:eastAsia="仿宋_GB2312" w:cs="Times New Roman"/>
          <w:color w:val="auto"/>
          <w:sz w:val="32"/>
          <w:szCs w:val="32"/>
          <w:lang w:val="en-US" w:eastAsia="zh-CN"/>
        </w:rPr>
        <w:t>21</w:t>
      </w:r>
      <w:r>
        <w:rPr>
          <w:rFonts w:hint="eastAsia" w:ascii="仿宋_GB2312" w:hAnsi="Times New Roman" w:eastAsia="仿宋_GB2312" w:cs="Times New Roman"/>
          <w:color w:val="auto"/>
          <w:sz w:val="32"/>
          <w:szCs w:val="32"/>
          <w:lang w:val="en-US" w:eastAsia="zh-CN"/>
        </w:rPr>
        <w:t>年总投入为</w:t>
      </w:r>
      <w:r>
        <w:rPr>
          <w:rFonts w:hint="eastAsia" w:ascii="仿宋_GB2312" w:eastAsia="仿宋_GB2312" w:cs="Times New Roman"/>
          <w:color w:val="auto"/>
          <w:sz w:val="32"/>
          <w:szCs w:val="32"/>
          <w:lang w:val="en-US" w:eastAsia="zh-CN"/>
        </w:rPr>
        <w:t>1.88</w:t>
      </w:r>
      <w:r>
        <w:rPr>
          <w:rFonts w:hint="eastAsia" w:ascii="仿宋_GB2312" w:hAnsi="Times New Roman" w:eastAsia="仿宋_GB2312" w:cs="Times New Roman"/>
          <w:color w:val="auto"/>
          <w:sz w:val="32"/>
          <w:szCs w:val="32"/>
          <w:lang w:val="en-US" w:eastAsia="zh-CN"/>
        </w:rPr>
        <w:t>万元。</w:t>
      </w:r>
      <w:r>
        <w:rPr>
          <w:rFonts w:hint="eastAsia" w:ascii="仿宋_GB2312" w:hAnsi="å®‹ä½“" w:eastAsia="仿宋_GB2312" w:cs="仿宋_GB2312"/>
          <w:b w:val="0"/>
          <w:bCs w:val="0"/>
          <w:i w:val="0"/>
          <w:caps w:val="0"/>
          <w:color w:val="auto"/>
          <w:spacing w:val="0"/>
          <w:kern w:val="0"/>
          <w:sz w:val="32"/>
          <w:szCs w:val="32"/>
          <w:lang w:val="en-US" w:eastAsia="zh-CN" w:bidi="ar"/>
        </w:rPr>
        <w:t>据乳财[2021]4号</w:t>
      </w:r>
      <w:r>
        <w:rPr>
          <w:rFonts w:hint="eastAsia" w:ascii="仿宋_GB2312" w:hAnsi="Times New Roman" w:eastAsia="仿宋_GB2312" w:cs="Times New Roman"/>
          <w:color w:val="auto"/>
          <w:sz w:val="32"/>
          <w:szCs w:val="32"/>
          <w:lang w:val="en-US" w:eastAsia="zh-CN"/>
        </w:rPr>
        <w:t>下拨项目资金累计</w:t>
      </w:r>
      <w:r>
        <w:rPr>
          <w:rFonts w:hint="eastAsia" w:ascii="仿宋_GB2312" w:eastAsia="仿宋_GB2312" w:cs="Times New Roman"/>
          <w:color w:val="auto"/>
          <w:sz w:val="32"/>
          <w:szCs w:val="32"/>
          <w:lang w:val="en-US" w:eastAsia="zh-CN"/>
        </w:rPr>
        <w:t>1.88</w:t>
      </w:r>
      <w:r>
        <w:rPr>
          <w:rFonts w:hint="eastAsia" w:ascii="仿宋_GB2312" w:hAnsi="Times New Roman" w:eastAsia="仿宋_GB2312" w:cs="Times New Roman"/>
          <w:color w:val="auto"/>
          <w:sz w:val="32"/>
          <w:szCs w:val="32"/>
          <w:lang w:val="en-US" w:eastAsia="zh-CN"/>
        </w:rPr>
        <w:t>万元全部到位，资金到位率100%</w:t>
      </w:r>
      <w:r>
        <w:rPr>
          <w:rFonts w:hint="eastAsia" w:ascii="仿宋_GB2312" w:eastAsia="仿宋_GB2312" w:cs="Times New Roman"/>
          <w:color w:val="auto"/>
          <w:sz w:val="32"/>
          <w:szCs w:val="32"/>
          <w:lang w:val="en-US" w:eastAsia="zh-CN"/>
        </w:rPr>
        <w:t>。</w:t>
      </w:r>
    </w:p>
    <w:p>
      <w:pPr>
        <w:numPr>
          <w:ilvl w:val="0"/>
          <w:numId w:val="1"/>
        </w:numPr>
        <w:spacing w:line="360" w:lineRule="auto"/>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项目资金实际支出情况，具体详细说明。</w:t>
      </w:r>
    </w:p>
    <w:p>
      <w:pPr>
        <w:spacing w:line="360" w:lineRule="auto"/>
        <w:ind w:firstLine="640" w:firstLineChars="200"/>
        <w:rPr>
          <w:rFonts w:hint="default" w:ascii="仿宋_GB2312" w:hAnsi="Times New Roman" w:eastAsia="仿宋_GB2312" w:cs="Times New Roman"/>
          <w:color w:val="auto"/>
          <w:sz w:val="32"/>
          <w:szCs w:val="32"/>
          <w:lang w:val="en-US" w:eastAsia="zh-CN"/>
        </w:rPr>
      </w:pPr>
      <w:r>
        <w:rPr>
          <w:rFonts w:hint="eastAsia" w:ascii="仿宋_GB2312" w:eastAsia="仿宋_GB2312" w:cs="Times New Roman"/>
          <w:color w:val="auto"/>
          <w:sz w:val="32"/>
          <w:szCs w:val="32"/>
          <w:lang w:val="en-US" w:eastAsia="zh-CN"/>
        </w:rPr>
        <w:t>2021</w:t>
      </w:r>
      <w:r>
        <w:rPr>
          <w:rFonts w:hint="eastAsia" w:ascii="仿宋_GB2312" w:hAnsi="Times New Roman" w:eastAsia="仿宋_GB2312" w:cs="Times New Roman"/>
          <w:color w:val="auto"/>
          <w:sz w:val="32"/>
          <w:szCs w:val="32"/>
          <w:lang w:val="en-US" w:eastAsia="zh-CN"/>
        </w:rPr>
        <w:t>年人口变动抽样调查项目实际支出</w:t>
      </w:r>
      <w:r>
        <w:rPr>
          <w:rFonts w:hint="eastAsia" w:ascii="仿宋_GB2312" w:eastAsia="仿宋_GB2312" w:cs="Times New Roman"/>
          <w:color w:val="auto"/>
          <w:sz w:val="32"/>
          <w:szCs w:val="32"/>
          <w:lang w:val="en-US" w:eastAsia="zh-CN"/>
        </w:rPr>
        <w:t>1.88</w:t>
      </w:r>
      <w:r>
        <w:rPr>
          <w:rFonts w:hint="eastAsia" w:ascii="仿宋_GB2312" w:hAnsi="Times New Roman" w:eastAsia="仿宋_GB2312" w:cs="Times New Roman"/>
          <w:color w:val="auto"/>
          <w:sz w:val="32"/>
          <w:szCs w:val="32"/>
          <w:lang w:val="en-US" w:eastAsia="zh-CN"/>
        </w:rPr>
        <w:t>万元，资金使用率</w:t>
      </w:r>
      <w:r>
        <w:rPr>
          <w:rFonts w:hint="eastAsia" w:ascii="仿宋_GB2312" w:eastAsia="仿宋_GB2312" w:cs="Times New Roman"/>
          <w:color w:val="auto"/>
          <w:sz w:val="32"/>
          <w:szCs w:val="32"/>
          <w:lang w:val="en-US" w:eastAsia="zh-CN"/>
        </w:rPr>
        <w:t>100</w:t>
      </w:r>
      <w:r>
        <w:rPr>
          <w:rFonts w:hint="eastAsia" w:ascii="仿宋_GB2312" w:hAnsi="Times New Roman" w:eastAsia="仿宋_GB2312" w:cs="Times New Roman"/>
          <w:color w:val="auto"/>
          <w:sz w:val="32"/>
          <w:szCs w:val="32"/>
          <w:lang w:val="en-US" w:eastAsia="zh-CN"/>
        </w:rPr>
        <w:t>%。</w:t>
      </w:r>
      <w:r>
        <w:rPr>
          <w:rFonts w:hint="eastAsia" w:ascii="仿宋_GB2312" w:eastAsia="仿宋_GB2312" w:cs="Times New Roman"/>
          <w:color w:val="auto"/>
          <w:sz w:val="32"/>
          <w:szCs w:val="32"/>
          <w:lang w:val="en-US" w:eastAsia="zh-CN"/>
        </w:rPr>
        <w:t>主要用于发放人口变动抽样调查调查员补贴0.89万元；业务培训0.08万元；宣传方面0.56万元；印刷方面0.15万元；购买办公用品0.20万。</w:t>
      </w:r>
    </w:p>
    <w:p>
      <w:pPr>
        <w:numPr>
          <w:ilvl w:val="0"/>
          <w:numId w:val="1"/>
        </w:numPr>
        <w:spacing w:line="360" w:lineRule="auto"/>
        <w:ind w:left="0" w:leftChars="0"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项目的绩效目标</w:t>
      </w:r>
      <w:r>
        <w:rPr>
          <w:rFonts w:hint="eastAsia" w:ascii="仿宋_GB2312" w:hAnsi="仿宋_GB2312" w:eastAsia="仿宋_GB2312"/>
          <w:color w:val="auto"/>
          <w:sz w:val="32"/>
          <w:szCs w:val="32"/>
          <w:highlight w:val="none"/>
          <w:lang w:val="en-US" w:eastAsia="zh-CN"/>
        </w:rPr>
        <w:t>完成情况</w:t>
      </w:r>
      <w:r>
        <w:rPr>
          <w:rFonts w:hint="eastAsia" w:ascii="仿宋_GB2312" w:hAnsi="仿宋_GB2312" w:eastAsia="仿宋_GB2312"/>
          <w:color w:val="auto"/>
          <w:sz w:val="32"/>
          <w:szCs w:val="32"/>
          <w:highlight w:val="none"/>
        </w:rPr>
        <w:t>（经济、政治和社会效益）。</w:t>
      </w:r>
    </w:p>
    <w:p>
      <w:pPr>
        <w:spacing w:line="360" w:lineRule="auto"/>
        <w:ind w:firstLine="640" w:firstLineChars="200"/>
        <w:rPr>
          <w:rFonts w:hint="eastAsia" w:ascii="仿宋_GB2312"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我县人口变动抽样调查抽中5个调查点，人口变动情况抽样调查标准时间为2021年11月1日零时。人口变动情况抽样调查作为专门收集这方面数据的专项调查，可以最直接、最便捷地把这些情况反映给政府，提供可靠的人口数据，以便于政府及时了解人口变化情况并根据变化及时优化完善相关政策措施，促进人口长期均衡发展。</w:t>
      </w:r>
    </w:p>
    <w:p>
      <w:pPr>
        <w:numPr>
          <w:ilvl w:val="0"/>
          <w:numId w:val="1"/>
        </w:numPr>
        <w:spacing w:line="360" w:lineRule="auto"/>
        <w:ind w:left="0" w:leftChars="0"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项目资金使用效益，对环境、经济、社会的可持续影响。</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s="Times New Roman"/>
          <w:color w:val="auto"/>
          <w:sz w:val="32"/>
          <w:szCs w:val="32"/>
          <w:highlight w:val="none"/>
          <w:lang w:val="en-US" w:eastAsia="zh-CN"/>
        </w:rPr>
        <w:t>人口变动情况抽样调查可以帮助政府了解我国人口</w:t>
      </w:r>
      <w:r>
        <w:rPr>
          <w:rFonts w:hint="eastAsia" w:ascii="仿宋_GB2312" w:eastAsia="仿宋_GB2312" w:cs="Times New Roman"/>
          <w:color w:val="auto"/>
          <w:sz w:val="32"/>
          <w:szCs w:val="32"/>
          <w:lang w:val="en-US" w:eastAsia="zh-CN"/>
        </w:rPr>
        <w:t>的数量、区域分布、出生、死亡、迁移、受教育程度等基本情况，以便于更好地为人民群众提供教育、医疗卫生、劳动就业、社会保障等方面的服务。为科学制定国民经济和社会发展提供了强有力的统计信息支持。对于统筹城乡发展，扩大居民消费、增加就业，提供义务教育、基本医疗、住房保障以及推进基本公共服务均等化也产生了重要的促进作用。</w:t>
      </w:r>
    </w:p>
    <w:p>
      <w:pPr>
        <w:spacing w:line="360" w:lineRule="auto"/>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（二）存在问题。</w:t>
      </w:r>
    </w:p>
    <w:p>
      <w:pPr>
        <w:spacing w:line="360" w:lineRule="auto"/>
        <w:ind w:firstLine="640" w:firstLineChars="200"/>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无。</w:t>
      </w:r>
    </w:p>
    <w:p>
      <w:pPr>
        <w:spacing w:line="360" w:lineRule="auto"/>
        <w:ind w:firstLine="640" w:firstLineChars="200"/>
        <w:rPr>
          <w:rFonts w:ascii="黑体" w:eastAsia="黑体"/>
          <w:color w:val="auto"/>
          <w:sz w:val="32"/>
          <w:szCs w:val="32"/>
        </w:rPr>
      </w:pPr>
      <w:r>
        <w:rPr>
          <w:rFonts w:hint="eastAsia" w:ascii="黑体" w:eastAsia="黑体"/>
          <w:color w:val="auto"/>
          <w:sz w:val="32"/>
          <w:szCs w:val="32"/>
        </w:rPr>
        <w:t>三、改进意见</w:t>
      </w:r>
    </w:p>
    <w:p>
      <w:pPr>
        <w:spacing w:line="360" w:lineRule="auto"/>
        <w:ind w:firstLine="640" w:firstLineChars="200"/>
        <w:rPr>
          <w:rFonts w:hint="eastAsia" w:ascii="仿宋_GB2312" w:eastAsia="仿宋_GB2312"/>
          <w:color w:val="auto"/>
          <w:sz w:val="32"/>
          <w:szCs w:val="32"/>
        </w:rPr>
      </w:pPr>
      <w:r>
        <w:rPr>
          <w:rFonts w:hint="eastAsia" w:ascii="仿宋_GB2312" w:hAnsi="Times New Roman" w:eastAsia="仿宋_GB2312" w:cs="Times New Roman"/>
          <w:color w:val="auto"/>
          <w:sz w:val="32"/>
          <w:szCs w:val="32"/>
          <w:lang w:val="en-US" w:eastAsia="zh-CN"/>
        </w:rPr>
        <w:t>无。</w:t>
      </w:r>
    </w:p>
    <w:p>
      <w:pPr>
        <w:spacing w:line="360" w:lineRule="auto"/>
        <w:ind w:firstLine="640" w:firstLineChars="200"/>
        <w:rPr>
          <w:rFonts w:hint="eastAsia" w:ascii="黑体" w:eastAsia="黑体"/>
          <w:color w:val="auto"/>
          <w:sz w:val="32"/>
          <w:szCs w:val="32"/>
        </w:rPr>
      </w:pPr>
      <w:r>
        <w:rPr>
          <w:rFonts w:hint="eastAsia" w:ascii="黑体" w:eastAsia="黑体"/>
          <w:color w:val="auto"/>
          <w:sz w:val="32"/>
          <w:szCs w:val="32"/>
          <w:lang w:eastAsia="zh-CN"/>
        </w:rPr>
        <w:t>四、</w:t>
      </w:r>
      <w:r>
        <w:rPr>
          <w:rFonts w:hint="eastAsia" w:ascii="黑体" w:eastAsia="黑体"/>
          <w:color w:val="auto"/>
          <w:sz w:val="32"/>
          <w:szCs w:val="32"/>
        </w:rPr>
        <w:t>其他需要说明的情况</w:t>
      </w:r>
    </w:p>
    <w:p>
      <w:pPr>
        <w:spacing w:line="360" w:lineRule="auto"/>
        <w:ind w:firstLine="640" w:firstLineChars="200"/>
        <w:rPr>
          <w:rFonts w:hint="eastAsia" w:ascii="仿宋_GB2312" w:hAnsi="Times New Roman" w:eastAsia="仿宋_GB2312" w:cs="Times New Roman"/>
          <w:color w:val="auto"/>
          <w:sz w:val="32"/>
          <w:szCs w:val="32"/>
          <w:lang w:val="en-US" w:eastAsia="zh-CN"/>
        </w:rPr>
      </w:pPr>
      <w:r>
        <w:rPr>
          <w:rFonts w:hint="eastAsia" w:ascii="仿宋_GB2312" w:hAnsi="Times New Roman" w:eastAsia="仿宋_GB2312" w:cs="Times New Roman"/>
          <w:color w:val="auto"/>
          <w:sz w:val="32"/>
          <w:szCs w:val="32"/>
          <w:lang w:val="en-US" w:eastAsia="zh-CN"/>
        </w:rPr>
        <w:t>无。</w:t>
      </w:r>
    </w:p>
    <w:p>
      <w:pPr>
        <w:spacing w:line="360" w:lineRule="auto"/>
        <w:ind w:firstLine="640" w:firstLineChars="200"/>
        <w:rPr>
          <w:rFonts w:hint="eastAsia" w:ascii="仿宋_GB2312" w:eastAsia="仿宋_GB2312"/>
          <w:color w:val="auto"/>
          <w:sz w:val="32"/>
          <w:szCs w:val="32"/>
          <w:lang w:val="en-US" w:eastAsia="zh-CN"/>
        </w:rPr>
      </w:pPr>
    </w:p>
    <w:p>
      <w:pPr>
        <w:spacing w:line="360" w:lineRule="auto"/>
        <w:ind w:firstLine="640" w:firstLineChars="200"/>
        <w:rPr>
          <w:rFonts w:hint="eastAsia" w:ascii="仿宋_GB2312" w:eastAsia="仿宋_GB2312"/>
          <w:color w:val="auto"/>
          <w:sz w:val="32"/>
          <w:szCs w:val="32"/>
          <w:lang w:val="en-US" w:eastAsia="zh-CN"/>
        </w:rPr>
      </w:pPr>
    </w:p>
    <w:p>
      <w:pPr>
        <w:spacing w:line="360" w:lineRule="auto"/>
        <w:ind w:firstLine="4480" w:firstLineChars="14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乳源瑶族自治县统计局</w:t>
      </w:r>
    </w:p>
    <w:p>
      <w:pPr>
        <w:spacing w:line="360" w:lineRule="auto"/>
        <w:ind w:firstLine="4800" w:firstLineChars="1500"/>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2022年4月15日</w:t>
      </w:r>
    </w:p>
    <w:p>
      <w:pPr>
        <w:pStyle w:val="2"/>
        <w:rPr>
          <w:rFonts w:hint="eastAsia"/>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å®‹ä½“">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648439"/>
    <w:multiLevelType w:val="singleLevel"/>
    <w:tmpl w:val="32648439"/>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C70309D"/>
    <w:rsid w:val="0F2869F9"/>
    <w:rsid w:val="124E65DA"/>
    <w:rsid w:val="184033D1"/>
    <w:rsid w:val="1BEA0FB0"/>
    <w:rsid w:val="2A0C3112"/>
    <w:rsid w:val="30683E50"/>
    <w:rsid w:val="326D7632"/>
    <w:rsid w:val="36341C80"/>
    <w:rsid w:val="39921607"/>
    <w:rsid w:val="3B45233D"/>
    <w:rsid w:val="3DE73445"/>
    <w:rsid w:val="423A110E"/>
    <w:rsid w:val="468762A1"/>
    <w:rsid w:val="47BF3188"/>
    <w:rsid w:val="4A8E2650"/>
    <w:rsid w:val="5375086E"/>
    <w:rsid w:val="54B26E75"/>
    <w:rsid w:val="5616381A"/>
    <w:rsid w:val="58E8664C"/>
    <w:rsid w:val="5FAC49F7"/>
    <w:rsid w:val="624F4CCE"/>
    <w:rsid w:val="627156A7"/>
    <w:rsid w:val="63F25573"/>
    <w:rsid w:val="68BA63CB"/>
    <w:rsid w:val="6A7F2C90"/>
    <w:rsid w:val="773532AB"/>
    <w:rsid w:val="7B423DB3"/>
    <w:rsid w:val="7FFB1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链接"/>
    <w:qFormat/>
    <w:uiPriority w:val="0"/>
    <w:pPr>
      <w:widowControl w:val="0"/>
      <w:autoSpaceDE w:val="0"/>
      <w:autoSpaceDN w:val="0"/>
      <w:adjustRightInd w:val="0"/>
      <w:ind w:left="720"/>
      <w:textAlignment w:val="baseline"/>
    </w:pPr>
    <w:rPr>
      <w:rFonts w:ascii="Times New Roman" w:hAnsi="Times New Roman" w:eastAsia="宋体" w:cs="Times New Roman"/>
      <w:color w:val="0000FF"/>
      <w:sz w:val="21"/>
      <w:u w:val="single"/>
      <w:lang w:val="en-US" w:eastAsia="zh-CN" w:bidi="ar-SA"/>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sz w:val="18"/>
      <w:szCs w:val="18"/>
    </w:rPr>
  </w:style>
  <w:style w:type="character" w:customStyle="1" w:styleId="8">
    <w:name w:val="页脚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1427</Words>
  <Characters>1484</Characters>
  <Lines>1</Lines>
  <Paragraphs>1</Paragraphs>
  <TotalTime>0</TotalTime>
  <ScaleCrop>false</ScaleCrop>
  <LinksUpToDate>false</LinksUpToDate>
  <CharactersWithSpaces>1490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R</cp:lastModifiedBy>
  <cp:lastPrinted>2022-04-12T02:14:00Z</cp:lastPrinted>
  <dcterms:modified xsi:type="dcterms:W3CDTF">2022-04-12T08:40:18Z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A3FDDFFD396541DA83EBD072B9F2C264</vt:lpwstr>
  </property>
</Properties>
</file>