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农村电商和农业综合服务中心运行启动仪式活动经费项目绩效报告</w:t>
      </w:r>
    </w:p>
    <w:p>
      <w:pPr>
        <w:spacing w:line="360" w:lineRule="auto"/>
        <w:ind w:firstLine="640" w:firstLineChars="200"/>
        <w:rPr>
          <w:rFonts w:hint="eastAsia" w:ascii="黑体" w:eastAsia="黑体"/>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（一）项目用款单位简要情况。</w:t>
      </w:r>
    </w:p>
    <w:p>
      <w:pPr>
        <w:keepNext w:val="0"/>
        <w:keepLines w:val="0"/>
        <w:pageBreakBefore w:val="0"/>
        <w:widowControl w:val="0"/>
        <w:kinsoku/>
        <w:wordWrap/>
        <w:overflowPunct/>
        <w:topLinePunct w:val="0"/>
        <w:autoSpaceDE/>
        <w:bidi w:val="0"/>
        <w:adjustRightIn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项目主管单位是乳源瑶族自治县农业农村局，属行政单位。县级下达文号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乳财农〔2021〕33号</w:t>
      </w:r>
      <w:r>
        <w:rPr>
          <w:rFonts w:hint="eastAsia" w:ascii="仿宋_GB2312" w:hAnsi="仿宋_GB2312" w:eastAsia="仿宋_GB2312" w:cs="仿宋_GB2312"/>
          <w:color w:val="auto"/>
          <w:sz w:val="32"/>
          <w:szCs w:val="32"/>
        </w:rPr>
        <w:t>；截止20</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年12月底，项目安排资金</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万元，实际使用资金</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万元。</w:t>
      </w:r>
    </w:p>
    <w:p>
      <w:pPr>
        <w:numPr>
          <w:ilvl w:val="0"/>
          <w:numId w:val="1"/>
        </w:num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项目实施主要内容及实施程序。</w:t>
      </w:r>
    </w:p>
    <w:p>
      <w:pPr>
        <w:pStyle w:val="2"/>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我县农村电子商务服务中心、县农民专业合作社服务中心、扶贫创业创新基地经一段时间的建设，已基本完成，整合形成了我县一个多功能的农业综合服务中心，为农村电商、三农服务、乡村振兴提供了一个很好地平台。为此，县委、县政府定于4月30日，举办了“乳源瑶族自治县电子商务公共服务中心暨广东省消费扶贫创业创新基地(乳源)启动仪式”，活动以产品展示、农产品展销会、群众文艺表演等形式开展，达到了良好的宣传效果。</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针对项目支出</w:t>
      </w:r>
      <w:bookmarkStart w:id="0" w:name="_GoBack"/>
      <w:r>
        <w:rPr>
          <w:rFonts w:hint="eastAsia" w:ascii="仿宋_GB2312" w:hAnsi="仿宋_GB2312" w:eastAsia="仿宋_GB2312" w:cs="仿宋_GB2312"/>
          <w:sz w:val="32"/>
          <w:szCs w:val="32"/>
          <w:lang w:val="en-US" w:eastAsia="zh-CN"/>
        </w:rPr>
        <w:t>绩效自评指标评分表并对照佐证材料，自评分为100分。1.根据《关于</w:t>
      </w:r>
      <w:bookmarkEnd w:id="0"/>
      <w:r>
        <w:rPr>
          <w:rFonts w:hint="eastAsia" w:ascii="仿宋_GB2312" w:hAnsi="仿宋_GB2312" w:eastAsia="仿宋_GB2312" w:cs="仿宋_GB2312"/>
          <w:sz w:val="32"/>
          <w:szCs w:val="32"/>
          <w:lang w:val="en-US" w:eastAsia="zh-CN"/>
        </w:rPr>
        <w:t>安排2021年第三次预算追加审核联席会议有关项目资金的通知》（乳财农〔2021〕33号）文件要求，整合形成我县一个多功能的农业综合服务中心，为农村电商、三农服务、乡村振兴提供了一个很好地平台，于</w:t>
      </w:r>
      <w:r>
        <w:rPr>
          <w:rFonts w:hint="eastAsia" w:ascii="仿宋_GB2312" w:hAnsi="仿宋_GB2312" w:eastAsia="仿宋_GB2312" w:cs="仿宋_GB2312"/>
          <w:color w:val="auto"/>
          <w:kern w:val="2"/>
          <w:sz w:val="32"/>
          <w:szCs w:val="32"/>
          <w:lang w:val="en-US" w:eastAsia="zh-CN" w:bidi="ar-SA"/>
        </w:rPr>
        <w:t>4月30日，举办了“乳源瑶族自治县电子商务公共服务中心暨广东省消费扶贫创业创新基地(乳源)启动仪式”，项目经费10万元。</w:t>
      </w:r>
      <w:r>
        <w:rPr>
          <w:rFonts w:hint="eastAsia" w:ascii="仿宋_GB2312" w:hAnsi="仿宋_GB2312" w:eastAsia="仿宋_GB2312" w:cs="仿宋_GB2312"/>
          <w:sz w:val="32"/>
          <w:szCs w:val="32"/>
          <w:lang w:val="en-US" w:eastAsia="zh-CN"/>
        </w:rPr>
        <w:t>2.根据《关于批复2021年部门预算的通知》（</w:t>
      </w:r>
      <w:r>
        <w:rPr>
          <w:rFonts w:hint="eastAsia" w:ascii="仿宋_GB2312" w:hAnsi="仿宋_GB2312" w:eastAsia="仿宋_GB2312" w:cs="仿宋_GB2312"/>
          <w:color w:val="auto"/>
          <w:sz w:val="32"/>
          <w:szCs w:val="32"/>
          <w:lang w:val="en-US" w:eastAsia="zh-CN"/>
        </w:rPr>
        <w:t>乳</w:t>
      </w:r>
      <w:r>
        <w:rPr>
          <w:rFonts w:hint="eastAsia" w:ascii="仿宋_GB2312" w:hAnsi="仿宋_GB2312" w:eastAsia="仿宋_GB2312" w:cs="仿宋_GB2312"/>
          <w:color w:val="auto"/>
          <w:sz w:val="32"/>
          <w:szCs w:val="32"/>
        </w:rPr>
        <w:t>财[20</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]4号</w:t>
      </w:r>
      <w:r>
        <w:rPr>
          <w:rFonts w:hint="eastAsia" w:ascii="仿宋_GB2312" w:hAnsi="仿宋_GB2312" w:eastAsia="仿宋_GB2312" w:cs="仿宋_GB2312"/>
          <w:sz w:val="32"/>
          <w:szCs w:val="32"/>
          <w:lang w:val="en-US" w:eastAsia="zh-CN"/>
        </w:rPr>
        <w:t>）文件中安排经费10万元，实际到位10万元，资金到位率和使用率100%。</w:t>
      </w:r>
    </w:p>
    <w:p>
      <w:pPr>
        <w:spacing w:line="360" w:lineRule="auto"/>
        <w:ind w:firstLine="640" w:firstLineChars="200"/>
        <w:rPr>
          <w:rFonts w:hint="eastAsia" w:ascii="楷体_GB2312" w:hAnsi="楷体_GB2312" w:eastAsia="楷体_GB2312" w:cs="楷体_GB2312"/>
          <w:sz w:val="32"/>
          <w:szCs w:val="32"/>
        </w:rPr>
      </w:pPr>
      <w:r>
        <w:rPr>
          <w:rFonts w:hint="eastAsia" w:ascii="黑体" w:eastAsia="黑体"/>
          <w:sz w:val="32"/>
          <w:szCs w:val="32"/>
        </w:rPr>
        <w:t>二、绩效表现</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安排资金10万元，实际使用资金10万元</w:t>
      </w:r>
      <w:r>
        <w:rPr>
          <w:rFonts w:hint="eastAsia" w:ascii="仿宋_GB2312" w:hAnsi="仿宋_GB2312" w:eastAsia="仿宋_GB2312" w:cs="仿宋_GB2312"/>
          <w:sz w:val="32"/>
          <w:szCs w:val="32"/>
        </w:rPr>
        <w:t>。</w:t>
      </w:r>
    </w:p>
    <w:p>
      <w:pPr>
        <w:numPr>
          <w:ilvl w:val="0"/>
          <w:numId w:val="2"/>
        </w:num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项目资金实际支出情况，具体详细说明。</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支付完成</w:t>
      </w:r>
      <w:r>
        <w:rPr>
          <w:rFonts w:hint="eastAsia" w:ascii="仿宋_GB2312" w:hAnsi="仿宋_GB2312" w:eastAsia="仿宋_GB2312" w:cs="仿宋_GB2312"/>
          <w:color w:val="auto"/>
          <w:kern w:val="2"/>
          <w:sz w:val="32"/>
          <w:szCs w:val="32"/>
          <w:lang w:val="en-US" w:eastAsia="zh-CN" w:bidi="ar-SA"/>
        </w:rPr>
        <w:t>乳源瑶族自治县电子商务公共服务中心暨广东省消费扶贫创业创新基地(乳源)启动仪式中</w:t>
      </w:r>
      <w:r>
        <w:rPr>
          <w:rFonts w:hint="eastAsia" w:ascii="仿宋_GB2312" w:hAnsi="仿宋_GB2312" w:eastAsia="仿宋_GB2312" w:cs="仿宋_GB2312"/>
          <w:sz w:val="32"/>
          <w:szCs w:val="32"/>
          <w:lang w:val="en-US" w:eastAsia="zh-CN"/>
        </w:rPr>
        <w:t>舞台搭建、组织农产品展销会、广告宣传等，共</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p>
    <w:p>
      <w:pPr>
        <w:spacing w:line="360" w:lineRule="auto"/>
        <w:ind w:firstLine="640" w:firstLineChars="200"/>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rPr>
        <w:t>3、项目的绩效目标</w:t>
      </w:r>
      <w:r>
        <w:rPr>
          <w:rFonts w:hint="eastAsia" w:ascii="仿宋_GB2312" w:hAnsi="仿宋_GB2312" w:eastAsia="仿宋_GB2312" w:cs="仿宋_GB2312"/>
          <w:sz w:val="32"/>
          <w:szCs w:val="32"/>
          <w:lang w:val="en-US" w:eastAsia="zh-CN"/>
        </w:rPr>
        <w:t>完成情况</w:t>
      </w:r>
      <w:r>
        <w:rPr>
          <w:rFonts w:hint="eastAsia" w:ascii="仿宋_GB2312" w:hAnsi="仿宋_GB2312" w:eastAsia="仿宋_GB2312" w:cs="仿宋_GB2312"/>
          <w:sz w:val="32"/>
          <w:szCs w:val="32"/>
        </w:rPr>
        <w:t>（经济、政治和社会效益）。</w:t>
      </w:r>
    </w:p>
    <w:p>
      <w:pPr>
        <w:spacing w:line="360" w:lineRule="auto"/>
        <w:ind w:firstLine="640" w:firstLineChars="200"/>
        <w:rPr>
          <w:rFonts w:hint="eastAsia" w:ascii="仿宋_GB2312" w:hAnsi="仿宋_GB2312" w:eastAsia="仿宋_GB2312" w:cs="仿宋_GB2312"/>
          <w:b w:val="0"/>
          <w:bCs w:val="0"/>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lang w:val="en-US" w:eastAsia="zh-CN"/>
        </w:rPr>
        <w:t>社会效益：提高</w:t>
      </w:r>
      <w:r>
        <w:rPr>
          <w:rFonts w:hint="eastAsia" w:ascii="仿宋_GB2312" w:hAnsi="仿宋_GB2312" w:eastAsia="仿宋_GB2312" w:cs="仿宋_GB2312"/>
          <w:b w:val="0"/>
          <w:bCs w:val="0"/>
          <w:sz w:val="32"/>
          <w:szCs w:val="32"/>
          <w:lang w:val="en-US" w:eastAsia="zh-CN"/>
        </w:rPr>
        <w:t>农业新型经营主体市场竞争力，促进农业产业转型升级，推进新型农业经营主体高质高效发展，提升新型农业经营主体适度规模经营水平。</w:t>
      </w:r>
    </w:p>
    <w:p>
      <w:pPr>
        <w:numPr>
          <w:ilvl w:val="0"/>
          <w:numId w:val="0"/>
        </w:numPr>
        <w:spacing w:line="360" w:lineRule="auto"/>
        <w:ind w:left="739" w:leftChars="352"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项目资金使用效益，对环境、经济、社会的可持续影响</w:t>
      </w:r>
      <w:r>
        <w:rPr>
          <w:rFonts w:hint="eastAsia" w:ascii="仿宋_GB2312" w:hAnsi="仿宋_GB2312" w:eastAsia="仿宋_GB2312" w:cs="仿宋_GB2312"/>
          <w:sz w:val="32"/>
          <w:szCs w:val="32"/>
          <w:lang w:val="en-US" w:eastAsia="zh-CN"/>
        </w:rPr>
        <w:t>环境影响：本项目对环境无不利影响。</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社会影响：为农村电商、三农服务、乡村振兴提供了一个平台。</w:t>
      </w:r>
    </w:p>
    <w:p>
      <w:pPr>
        <w:keepNext w:val="0"/>
        <w:keepLines w:val="0"/>
        <w:pageBreakBefore w:val="0"/>
        <w:widowControl w:val="0"/>
        <w:kinsoku/>
        <w:wordWrap/>
        <w:topLinePunct w:val="0"/>
        <w:bidi w:val="0"/>
        <w:adjustRightInd/>
        <w:snapToGrid/>
        <w:spacing w:line="560" w:lineRule="exact"/>
        <w:ind w:firstLine="640" w:firstLineChars="200"/>
        <w:textAlignment w:val="auto"/>
        <w:rPr>
          <w:rFonts w:hint="default"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sz w:val="32"/>
          <w:szCs w:val="32"/>
          <w:lang w:val="en-US" w:eastAsia="zh-CN"/>
        </w:rPr>
        <w:t>可持续性影响：增强农业综合服务中心服务能力，为我县新型农业经营主体发展。</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（二）存在问题。</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w:t>
      </w:r>
    </w:p>
    <w:p>
      <w:pPr>
        <w:pStyle w:val="11"/>
        <w:snapToGrid w:val="0"/>
        <w:spacing w:line="590" w:lineRule="exact"/>
        <w:ind w:firstLine="640" w:firstLineChars="20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三、资金管理</w:t>
      </w:r>
    </w:p>
    <w:p>
      <w:pPr>
        <w:pStyle w:val="11"/>
        <w:snapToGrid w:val="0"/>
        <w:spacing w:line="590" w:lineRule="exact"/>
        <w:ind w:firstLine="640"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sz w:val="32"/>
          <w:szCs w:val="32"/>
        </w:rPr>
        <w:t>我局严格按照财金制度加强</w:t>
      </w:r>
      <w:r>
        <w:rPr>
          <w:rFonts w:hint="eastAsia" w:ascii="仿宋_GB2312" w:hAnsi="仿宋_GB2312" w:eastAsia="仿宋_GB2312" w:cs="仿宋_GB2312"/>
          <w:sz w:val="32"/>
          <w:szCs w:val="32"/>
        </w:rPr>
        <w:t>涉农</w:t>
      </w:r>
      <w:r>
        <w:rPr>
          <w:rFonts w:hint="eastAsia" w:ascii="仿宋_GB2312" w:hAnsi="仿宋_GB2312" w:eastAsia="仿宋_GB2312" w:cs="仿宋_GB2312"/>
          <w:color w:val="000000"/>
          <w:sz w:val="32"/>
          <w:szCs w:val="32"/>
        </w:rPr>
        <w:t>资金管理，采用统一财政支付，专款专用，没有挤占、截留和挪用。对资金申报、使用、管理中发现的骗取、挤占、截留、挪用补助资金行为的，按《财政违法行为处罚处分条例》规定处理，并追究有关单位及相关人员的违纪责任。</w:t>
      </w:r>
    </w:p>
    <w:p>
      <w:pPr>
        <w:pStyle w:val="13"/>
        <w:spacing w:line="46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、自查结果</w:t>
      </w:r>
    </w:p>
    <w:p>
      <w:pPr>
        <w:rPr>
          <w:rFonts w:hint="eastAsia" w:ascii="仿宋_GB2312" w:hAnsi="仿宋_GB2312" w:eastAsia="仿宋_GB2312" w:cs="仿宋_GB2312"/>
          <w:sz w:val="32"/>
          <w:szCs w:val="32"/>
        </w:rPr>
      </w:pPr>
      <w:r>
        <w:rPr>
          <w:rFonts w:hint="eastAsia" w:ascii="方正仿宋简体" w:hAnsi="方正仿宋简体" w:eastAsia="方正仿宋简体" w:cs="方正仿宋简体"/>
          <w:color w:val="000000"/>
          <w:kern w:val="0"/>
          <w:sz w:val="32"/>
          <w:szCs w:val="32"/>
        </w:rPr>
        <w:t xml:space="preserve">    </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kern w:val="0"/>
          <w:sz w:val="32"/>
          <w:szCs w:val="32"/>
        </w:rPr>
        <w:t>资金</w:t>
      </w:r>
      <w:r>
        <w:rPr>
          <w:rFonts w:hint="eastAsia" w:ascii="仿宋_GB2312" w:hAnsi="仿宋_GB2312" w:eastAsia="仿宋_GB2312" w:cs="仿宋_GB2312"/>
          <w:color w:val="000000"/>
          <w:sz w:val="32"/>
          <w:szCs w:val="32"/>
        </w:rPr>
        <w:t>使用</w:t>
      </w:r>
      <w:r>
        <w:rPr>
          <w:rFonts w:hint="eastAsia" w:ascii="仿宋_GB2312" w:hAnsi="仿宋_GB2312" w:eastAsia="仿宋_GB2312" w:cs="仿宋_GB2312"/>
          <w:sz w:val="32"/>
          <w:szCs w:val="32"/>
        </w:rPr>
        <w:t>无违法违规现象。</w:t>
      </w:r>
    </w:p>
    <w:p>
      <w:pPr>
        <w:pStyle w:val="2"/>
        <w:rPr>
          <w:rFonts w:hint="eastAsia" w:ascii="仿宋_GB2312" w:hAnsi="仿宋_GB2312" w:eastAsia="仿宋_GB2312" w:cs="仿宋_GB2312"/>
          <w:sz w:val="32"/>
          <w:szCs w:val="32"/>
          <w:lang w:val="en-US" w:eastAsia="zh-CN"/>
        </w:rPr>
      </w:pPr>
    </w:p>
    <w:p>
      <w:pPr>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乳源瑶族自治县</w:t>
      </w:r>
      <w:r>
        <w:rPr>
          <w:rFonts w:hint="eastAsia" w:ascii="仿宋_GB2312" w:hAnsi="仿宋_GB2312" w:eastAsia="仿宋_GB2312" w:cs="仿宋_GB2312"/>
          <w:sz w:val="32"/>
          <w:szCs w:val="32"/>
        </w:rPr>
        <w:t>农业农村局</w:t>
      </w:r>
    </w:p>
    <w:p>
      <w:pPr>
        <w:ind w:firstLine="5280" w:firstLineChars="16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p>
      <w:pPr>
        <w:spacing w:line="360" w:lineRule="auto"/>
        <w:ind w:firstLine="640" w:firstLineChars="200"/>
        <w:rPr>
          <w:rFonts w:hint="eastAsia" w:ascii="仿宋_GB2312" w:hAnsi="仿宋_GB2312" w:eastAsia="仿宋_GB2312" w:cs="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B52C9"/>
    <w:multiLevelType w:val="singleLevel"/>
    <w:tmpl w:val="8FBB52C9"/>
    <w:lvl w:ilvl="0" w:tentative="0">
      <w:start w:val="2"/>
      <w:numFmt w:val="chineseCounting"/>
      <w:suff w:val="nothing"/>
      <w:lvlText w:val="（%1）"/>
      <w:lvlJc w:val="left"/>
      <w:rPr>
        <w:rFonts w:hint="eastAsia"/>
      </w:rPr>
    </w:lvl>
  </w:abstractNum>
  <w:abstractNum w:abstractNumId="1">
    <w:nsid w:val="1706B822"/>
    <w:multiLevelType w:val="singleLevel"/>
    <w:tmpl w:val="1706B82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QzMDVlNjJhMDE0NDlmYThlZWI2YjU2OWYwYTNhZ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93A4D00"/>
    <w:rsid w:val="2A0C3112"/>
    <w:rsid w:val="39921607"/>
    <w:rsid w:val="434661F3"/>
    <w:rsid w:val="468762A1"/>
    <w:rsid w:val="5375086E"/>
    <w:rsid w:val="67467242"/>
    <w:rsid w:val="7AD12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eastAsia="仿宋_GB2312" w:cs="宋体"/>
      <w:szCs w:val="21"/>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semiHidden/>
    <w:qFormat/>
    <w:uiPriority w:val="99"/>
    <w:rPr>
      <w:rFonts w:ascii="Times New Roman" w:hAnsi="Times New Roman" w:eastAsia="宋体" w:cs="Times New Roman"/>
      <w:sz w:val="18"/>
      <w:szCs w:val="18"/>
    </w:rPr>
  </w:style>
  <w:style w:type="character" w:customStyle="1" w:styleId="10">
    <w:name w:val="页脚 Char"/>
    <w:basedOn w:val="8"/>
    <w:link w:val="4"/>
    <w:semiHidden/>
    <w:qFormat/>
    <w:uiPriority w:val="99"/>
    <w:rPr>
      <w:rFonts w:ascii="Times New Roman" w:hAnsi="Times New Roman" w:eastAsia="宋体" w:cs="Times New Roman"/>
      <w:sz w:val="18"/>
      <w:szCs w:val="18"/>
    </w:rPr>
  </w:style>
  <w:style w:type="paragraph" w:customStyle="1" w:styleId="11">
    <w:name w:val="纯文本 New"/>
    <w:basedOn w:val="12"/>
    <w:qFormat/>
    <w:uiPriority w:val="0"/>
    <w:rPr>
      <w:rFonts w:ascii="宋体" w:hAnsi="Courier New" w:eastAsia="宋体" w:cs="Courier New"/>
      <w:sz w:val="21"/>
      <w:szCs w:val="21"/>
    </w:rPr>
  </w:style>
  <w:style w:type="paragraph" w:customStyle="1" w:styleId="12">
    <w:name w:val="正文 New New New"/>
    <w:qFormat/>
    <w:uiPriority w:val="0"/>
    <w:pPr>
      <w:widowControl w:val="0"/>
      <w:jc w:val="both"/>
    </w:pPr>
    <w:rPr>
      <w:rFonts w:ascii="Times New Roman" w:hAnsi="Times New Roman" w:eastAsia="仿宋_GB2312" w:cs="Times New Roman"/>
      <w:snapToGrid w:val="0"/>
      <w:sz w:val="32"/>
      <w:szCs w:val="32"/>
      <w:lang w:val="en-US" w:eastAsia="zh-CN" w:bidi="ar-SA"/>
    </w:rPr>
  </w:style>
  <w:style w:type="paragraph" w:customStyle="1" w:styleId="13">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2045</Words>
  <Characters>2104</Characters>
  <Lines>1</Lines>
  <Paragraphs>1</Paragraphs>
  <TotalTime>1</TotalTime>
  <ScaleCrop>false</ScaleCrop>
  <LinksUpToDate>false</LinksUpToDate>
  <CharactersWithSpaces>2104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LhW</cp:lastModifiedBy>
  <cp:lastPrinted>2018-10-25T02:57:00Z</cp:lastPrinted>
  <dcterms:modified xsi:type="dcterms:W3CDTF">2022-04-26T03:42:13Z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eyJoZGlkIjoiM2QzMDVlNjJhMDE0NDlmYThlZWI2YjU2OWYwYTNhZTQifQ==</vt:lpwstr>
  </property>
  <property fmtid="{D5CDD505-2E9C-101B-9397-08002B2CF9AE}" pid="4" name="ICV">
    <vt:lpwstr>71153E4383154169B046C65B06B63BF1</vt:lpwstr>
  </property>
</Properties>
</file>