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乳源瑶族自治县农业农村局是</w:t>
      </w:r>
      <w:r>
        <w:rPr>
          <w:rFonts w:hint="eastAsia" w:ascii="仿宋_GB2312" w:eastAsia="仿宋_GB2312"/>
          <w:sz w:val="32"/>
          <w:szCs w:val="32"/>
          <w:lang w:eastAsia="zh-CN"/>
        </w:rPr>
        <w:t>机关单位，统一社会信用代码证号为</w:t>
      </w:r>
      <w:r>
        <w:rPr>
          <w:rFonts w:hint="eastAsia" w:ascii="仿宋_GB2312" w:eastAsia="仿宋_GB2312"/>
          <w:sz w:val="32"/>
          <w:szCs w:val="32"/>
        </w:rPr>
        <w:t>11440232MB2D28551X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开展宣传活动、加强宣传力度，为群众提供法律咨询服务。完成各项“谁执法谁普法”宣传工作，推进群众对“谁执法谁普法”了解和认知，为宣传工作营造浓厚的环境氛围。增长工作人员的法律知识，强化执法能力，促进执法工作更加规范化、法制化、制度化发展。</w:t>
      </w:r>
    </w:p>
    <w:p>
      <w:pPr>
        <w:spacing w:line="360" w:lineRule="auto"/>
        <w:ind w:left="638" w:leftChars="304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述项目自评等级和分数，并对照佐证材料逐一分析。圆满完成项目预期目标得100分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传资料及小册子20000份（政府采购），制作户外宣传栏、横幅，参照2020年法律顾问聘任合同聘请法律顾问20000元（政府采购）。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sz w:val="32"/>
          <w:szCs w:val="32"/>
        </w:rPr>
        <w:t>群众对“谁执法谁普法”了解和认知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，拓宽工作人员的法律知识。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对普法工作的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持续</w:t>
      </w:r>
      <w:r>
        <w:rPr>
          <w:rFonts w:hint="eastAsia" w:ascii="仿宋_GB2312" w:hAnsi="仿宋_GB2312" w:eastAsia="仿宋_GB2312"/>
          <w:sz w:val="32"/>
          <w:szCs w:val="32"/>
        </w:rPr>
        <w:t>影响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1年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8986C2"/>
    <w:multiLevelType w:val="singleLevel"/>
    <w:tmpl w:val="D98986C2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631683DB"/>
    <w:multiLevelType w:val="singleLevel"/>
    <w:tmpl w:val="631683D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8E72736"/>
    <w:rsid w:val="39921607"/>
    <w:rsid w:val="3E147991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39</TotalTime>
  <ScaleCrop>false</ScaleCrop>
  <LinksUpToDate>false</LinksUpToDate>
  <CharactersWithSpaces>270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Lee Win</cp:lastModifiedBy>
  <cp:lastPrinted>2018-10-25T02:57:00Z</cp:lastPrinted>
  <dcterms:modified xsi:type="dcterms:W3CDTF">2021-03-31T09:33:13Z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