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p>
    <w:p>
      <w:pPr>
        <w:jc w:val="center"/>
        <w:rPr>
          <w:rFonts w:hint="eastAsia" w:ascii="方正仿宋简体" w:hAnsi="方正仿宋简体" w:eastAsia="方正仿宋简体" w:cs="方正仿宋简体"/>
          <w:b/>
          <w:sz w:val="44"/>
          <w:szCs w:val="44"/>
        </w:rPr>
      </w:pPr>
      <w:r>
        <w:rPr>
          <w:rFonts w:hint="eastAsia" w:ascii="方正仿宋简体" w:hAnsi="方正仿宋简体" w:eastAsia="方正仿宋简体" w:cs="方正仿宋简体"/>
          <w:b/>
          <w:sz w:val="44"/>
          <w:szCs w:val="44"/>
          <w:lang w:val="en-US" w:eastAsia="zh-CN"/>
        </w:rPr>
        <w:t>2021年</w:t>
      </w:r>
      <w:r>
        <w:rPr>
          <w:rFonts w:hint="eastAsia" w:ascii="方正仿宋简体" w:hAnsi="方正仿宋简体" w:eastAsia="方正仿宋简体" w:cs="方正仿宋简体"/>
          <w:b/>
          <w:sz w:val="44"/>
          <w:szCs w:val="44"/>
        </w:rPr>
        <w:t>农村土地承包经营权流转奖补项目</w:t>
      </w:r>
    </w:p>
    <w:p>
      <w:pPr>
        <w:jc w:val="center"/>
        <w:rPr>
          <w:rFonts w:hint="eastAsia" w:ascii="方正仿宋简体" w:hAnsi="方正仿宋简体" w:eastAsia="方正仿宋简体" w:cs="方正仿宋简体"/>
          <w:b/>
          <w:sz w:val="44"/>
          <w:szCs w:val="44"/>
        </w:rPr>
      </w:pPr>
      <w:r>
        <w:rPr>
          <w:rFonts w:hint="eastAsia" w:ascii="方正仿宋简体" w:hAnsi="方正仿宋简体" w:eastAsia="方正仿宋简体" w:cs="方正仿宋简体"/>
          <w:b/>
          <w:sz w:val="44"/>
          <w:szCs w:val="44"/>
        </w:rPr>
        <w:t>绩效自评报告</w:t>
      </w:r>
    </w:p>
    <w:p>
      <w:pPr>
        <w:pStyle w:val="9"/>
        <w:spacing w:line="360" w:lineRule="auto"/>
        <w:ind w:firstLine="643" w:firstLineChars="200"/>
        <w:outlineLvl w:val="0"/>
        <w:rPr>
          <w:rFonts w:hint="eastAsia" w:ascii="方正仿宋简体" w:hAnsi="方正仿宋简体" w:eastAsia="方正仿宋简体" w:cs="方正仿宋简体"/>
          <w:b/>
          <w:sz w:val="32"/>
          <w:szCs w:val="32"/>
        </w:rPr>
      </w:pPr>
      <w:r>
        <w:rPr>
          <w:rFonts w:hint="eastAsia" w:ascii="方正仿宋简体" w:hAnsi="方正仿宋简体" w:eastAsia="方正仿宋简体" w:cs="方正仿宋简体"/>
          <w:b/>
          <w:sz w:val="32"/>
          <w:szCs w:val="32"/>
        </w:rPr>
        <w:t>一、基本情况</w:t>
      </w:r>
    </w:p>
    <w:p>
      <w:pPr>
        <w:pStyle w:val="9"/>
        <w:spacing w:line="360" w:lineRule="auto"/>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（一）项目名称：</w:t>
      </w:r>
      <w:r>
        <w:rPr>
          <w:rFonts w:hint="eastAsia" w:ascii="方正仿宋简体" w:hAnsi="方正仿宋简体" w:eastAsia="方正仿宋简体" w:cs="方正仿宋简体"/>
          <w:sz w:val="32"/>
          <w:szCs w:val="32"/>
          <w:lang w:val="en-US" w:eastAsia="zh-CN"/>
        </w:rPr>
        <w:t>农村土地承包经营权流转奖补</w:t>
      </w:r>
      <w:r>
        <w:rPr>
          <w:rFonts w:hint="eastAsia" w:ascii="方正仿宋简体" w:hAnsi="方正仿宋简体" w:eastAsia="方正仿宋简体" w:cs="方正仿宋简体"/>
          <w:sz w:val="32"/>
          <w:szCs w:val="32"/>
        </w:rPr>
        <w:t>项目。20</w:t>
      </w:r>
      <w:r>
        <w:rPr>
          <w:rFonts w:hint="eastAsia" w:ascii="方正仿宋简体" w:hAnsi="方正仿宋简体" w:eastAsia="方正仿宋简体" w:cs="方正仿宋简体"/>
          <w:sz w:val="32"/>
          <w:szCs w:val="32"/>
          <w:lang w:val="en-US" w:eastAsia="zh-CN"/>
        </w:rPr>
        <w:t>21</w:t>
      </w:r>
      <w:r>
        <w:rPr>
          <w:rFonts w:hint="eastAsia" w:ascii="方正仿宋简体" w:hAnsi="方正仿宋简体" w:eastAsia="方正仿宋简体" w:cs="方正仿宋简体"/>
          <w:sz w:val="32"/>
          <w:szCs w:val="32"/>
        </w:rPr>
        <w:t>年县财政下达农村土地承包经营权流转奖补资金</w:t>
      </w:r>
      <w:r>
        <w:rPr>
          <w:rFonts w:hint="eastAsia" w:ascii="方正仿宋简体" w:hAnsi="方正仿宋简体" w:eastAsia="方正仿宋简体" w:cs="方正仿宋简体"/>
          <w:sz w:val="32"/>
          <w:szCs w:val="32"/>
          <w:lang w:val="en-US" w:eastAsia="zh-CN"/>
        </w:rPr>
        <w:t>1000000</w:t>
      </w:r>
      <w:r>
        <w:rPr>
          <w:rFonts w:hint="eastAsia" w:ascii="方正仿宋简体" w:hAnsi="方正仿宋简体" w:eastAsia="方正仿宋简体" w:cs="方正仿宋简体"/>
          <w:sz w:val="32"/>
          <w:szCs w:val="32"/>
        </w:rPr>
        <w:t>元，资金下达文号：（乳财〔20</w:t>
      </w:r>
      <w:r>
        <w:rPr>
          <w:rFonts w:hint="eastAsia" w:ascii="方正仿宋简体" w:hAnsi="方正仿宋简体" w:eastAsia="方正仿宋简体" w:cs="方正仿宋简体"/>
          <w:sz w:val="32"/>
          <w:szCs w:val="32"/>
          <w:lang w:val="en-US" w:eastAsia="zh-CN"/>
        </w:rPr>
        <w:t>21</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4</w:t>
      </w:r>
      <w:r>
        <w:rPr>
          <w:rFonts w:hint="eastAsia" w:ascii="方正仿宋简体" w:hAnsi="方正仿宋简体" w:eastAsia="方正仿宋简体" w:cs="方正仿宋简体"/>
          <w:sz w:val="32"/>
          <w:szCs w:val="32"/>
        </w:rPr>
        <w:t>号）。</w:t>
      </w:r>
    </w:p>
    <w:p>
      <w:pPr>
        <w:pStyle w:val="9"/>
        <w:spacing w:line="360" w:lineRule="auto"/>
        <w:ind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（二）资金使用情况。2021年农村土地承包经营权流转奖补面积3862.84亩，补贴资金999995元，资金执行率</w:t>
      </w:r>
      <w:r>
        <w:rPr>
          <w:rFonts w:hint="eastAsia" w:ascii="方正仿宋简体" w:hAnsi="方正仿宋简体" w:eastAsia="方正仿宋简体" w:cs="方正仿宋简体"/>
          <w:sz w:val="32"/>
          <w:szCs w:val="32"/>
          <w:lang w:val="en-US" w:eastAsia="zh-CN"/>
        </w:rPr>
        <w:t>100</w:t>
      </w:r>
      <w:r>
        <w:rPr>
          <w:rFonts w:hint="eastAsia" w:ascii="方正仿宋简体" w:hAnsi="方正仿宋简体" w:eastAsia="方正仿宋简体" w:cs="方正仿宋简体"/>
          <w:sz w:val="32"/>
          <w:szCs w:val="32"/>
        </w:rPr>
        <w:t>%。有效推进我县农村土地规范有序流转，促进农业适度规模经营，农业增效，农民增收。</w:t>
      </w:r>
    </w:p>
    <w:p>
      <w:pPr>
        <w:spacing w:line="360" w:lineRule="auto"/>
        <w:ind w:firstLine="643" w:firstLineChars="20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二、绩效表现</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
          <w:sz w:val="32"/>
          <w:szCs w:val="32"/>
        </w:rPr>
        <w:t>（</w:t>
      </w:r>
      <w:r>
        <w:rPr>
          <w:rFonts w:hint="eastAsia" w:ascii="方正仿宋简体" w:hAnsi="方正仿宋简体" w:eastAsia="方正仿宋简体" w:cs="方正仿宋简体"/>
          <w:bCs/>
          <w:sz w:val="32"/>
          <w:szCs w:val="32"/>
        </w:rPr>
        <w:t>一）建立土地流转平台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在</w:t>
      </w:r>
      <w:r>
        <w:rPr>
          <w:rFonts w:hint="eastAsia" w:ascii="方正仿宋简体" w:hAnsi="方正仿宋简体" w:eastAsia="方正仿宋简体" w:cs="方正仿宋简体"/>
          <w:sz w:val="32"/>
          <w:szCs w:val="32"/>
        </w:rPr>
        <w:t>2014年全县实现农村集体三资管理以来，已建立县、镇、村三级土地流转服务平台，为农村土地流转提供政策咨询、价格指导、合同签订、纠纷协调、调解、仲裁等服务，确保辖区内农村土地流转合理合法、规范有序。</w:t>
      </w:r>
    </w:p>
    <w:p>
      <w:pPr>
        <w:keepNext w:val="0"/>
        <w:keepLines w:val="0"/>
        <w:pageBreakBefore w:val="0"/>
        <w:widowControl w:val="0"/>
        <w:kinsoku/>
        <w:wordWrap/>
        <w:overflowPunct/>
        <w:topLinePunct w:val="0"/>
        <w:autoSpaceDE/>
        <w:autoSpaceDN/>
        <w:bidi w:val="0"/>
        <w:adjustRightInd/>
        <w:snapToGrid/>
        <w:spacing w:line="580" w:lineRule="exact"/>
        <w:ind w:left="330" w:leftChars="157" w:firstLine="320" w:firstLineChars="100"/>
        <w:textAlignment w:val="auto"/>
        <w:rPr>
          <w:rFonts w:hint="eastAsia" w:ascii="方正仿宋简体" w:hAnsi="方正仿宋简体" w:eastAsia="方正仿宋简体" w:cs="方正仿宋简体"/>
          <w:bCs/>
          <w:sz w:val="32"/>
          <w:szCs w:val="32"/>
        </w:rPr>
      </w:pPr>
      <w:r>
        <w:rPr>
          <w:rFonts w:hint="eastAsia" w:ascii="方正仿宋简体" w:hAnsi="方正仿宋简体" w:eastAsia="方正仿宋简体" w:cs="方正仿宋简体"/>
          <w:bCs/>
          <w:sz w:val="32"/>
          <w:szCs w:val="32"/>
        </w:rPr>
        <w:t>（</w:t>
      </w:r>
      <w:r>
        <w:rPr>
          <w:rFonts w:hint="eastAsia" w:ascii="方正仿宋简体" w:hAnsi="方正仿宋简体" w:eastAsia="方正仿宋简体" w:cs="方正仿宋简体"/>
          <w:bCs/>
          <w:sz w:val="32"/>
          <w:szCs w:val="32"/>
          <w:lang w:val="en-US" w:eastAsia="zh-CN"/>
        </w:rPr>
        <w:t>二</w:t>
      </w:r>
      <w:r>
        <w:rPr>
          <w:rFonts w:hint="eastAsia" w:ascii="方正仿宋简体" w:hAnsi="方正仿宋简体" w:eastAsia="方正仿宋简体" w:cs="方正仿宋简体"/>
          <w:bCs/>
          <w:sz w:val="32"/>
          <w:szCs w:val="32"/>
        </w:rPr>
        <w:t>）培育了一批农村新型经营主体</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简体" w:hAnsi="方正仿宋简体" w:eastAsia="方正仿宋简体" w:cs="方正仿宋简体"/>
          <w:color w:val="auto"/>
          <w:sz w:val="32"/>
          <w:szCs w:val="32"/>
          <w:lang w:eastAsia="zh-CN"/>
        </w:rPr>
      </w:pPr>
      <w:r>
        <w:rPr>
          <w:rFonts w:hint="eastAsia" w:ascii="方正仿宋简体" w:hAnsi="方正仿宋简体" w:eastAsia="方正仿宋简体" w:cs="方正仿宋简体"/>
          <w:sz w:val="32"/>
          <w:szCs w:val="32"/>
        </w:rPr>
        <w:t>通过农村土地确权、农村产权制度改革，整合农村土地资源，农村土地、山林、耕地，按程序依法发包给经营主体，发展茶叶、蔬菜、水果、瑶药等经济作物和种植，全县农村集体经济进一步壮大，形成了农业增效、农民增收、企业发展的良好势头。</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Cs/>
          <w:sz w:val="32"/>
          <w:szCs w:val="32"/>
        </w:rPr>
        <w:t>（</w:t>
      </w:r>
      <w:r>
        <w:rPr>
          <w:rFonts w:hint="eastAsia" w:ascii="方正仿宋简体" w:hAnsi="方正仿宋简体" w:eastAsia="方正仿宋简体" w:cs="方正仿宋简体"/>
          <w:bCs/>
          <w:sz w:val="32"/>
          <w:szCs w:val="32"/>
          <w:lang w:val="en-US" w:eastAsia="zh-CN"/>
        </w:rPr>
        <w:t>三</w:t>
      </w:r>
      <w:r>
        <w:rPr>
          <w:rFonts w:hint="eastAsia" w:ascii="方正仿宋简体" w:hAnsi="方正仿宋简体" w:eastAsia="方正仿宋简体" w:cs="方正仿宋简体"/>
          <w:bCs/>
          <w:sz w:val="32"/>
          <w:szCs w:val="32"/>
        </w:rPr>
        <w:t>）</w:t>
      </w:r>
      <w:r>
        <w:rPr>
          <w:rFonts w:hint="eastAsia" w:ascii="方正仿宋简体" w:hAnsi="方正仿宋简体" w:eastAsia="方正仿宋简体" w:cs="方正仿宋简体"/>
          <w:sz w:val="32"/>
          <w:szCs w:val="32"/>
        </w:rPr>
        <w:t>推进了农业结构调整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农村土地流转有效地促进了土地向种植大户或业主集中，大户或业主以市场为导向，充分发挥资金、技术等优势，大力发展“名优、特、新”农产品，从而打破了原有家庭承包经营农户土地分散、生产方式落后、产品质量差的局面，为农业产业结构调整提供了新途径。</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bCs/>
          <w:sz w:val="32"/>
          <w:szCs w:val="32"/>
        </w:rPr>
        <w:t>（</w:t>
      </w:r>
      <w:r>
        <w:rPr>
          <w:rFonts w:hint="eastAsia" w:ascii="方正仿宋简体" w:hAnsi="方正仿宋简体" w:eastAsia="方正仿宋简体" w:cs="方正仿宋简体"/>
          <w:bCs/>
          <w:sz w:val="32"/>
          <w:szCs w:val="32"/>
          <w:lang w:val="en-US" w:eastAsia="zh-CN"/>
        </w:rPr>
        <w:t>四</w:t>
      </w:r>
      <w:r>
        <w:rPr>
          <w:rFonts w:hint="eastAsia" w:ascii="方正仿宋简体" w:hAnsi="方正仿宋简体" w:eastAsia="方正仿宋简体" w:cs="方正仿宋简体"/>
          <w:bCs/>
          <w:sz w:val="32"/>
          <w:szCs w:val="32"/>
        </w:rPr>
        <w:t>）</w:t>
      </w:r>
      <w:r>
        <w:rPr>
          <w:rFonts w:hint="eastAsia" w:ascii="方正仿宋简体" w:hAnsi="方正仿宋简体" w:eastAsia="方正仿宋简体" w:cs="方正仿宋简体"/>
          <w:sz w:val="32"/>
          <w:szCs w:val="32"/>
        </w:rPr>
        <w:t>促进了农业规模经营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农村士地流转不但较好地满足了一些从事非农产业的农户既不愿放弃土地承包权，又不愿经营土地的要求。解决了土地抛荒、丢荒的难题，而且满足了一部分有技术特色、有资金实力、有经营管理能力的专业大户、专业合作社等集约经营土地的愿望，解决了“有田无人种、有人无田种”和“多种不能、不种不行”的人地矛盾，实现了土地资源的合理配置为土地规模化经营创造了条件，充分发挥了专业大户的资金、技术、管理等优势，实行集中连片播种，实现了规模化经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lang w:val="en-US" w:eastAsia="zh-CN"/>
        </w:rPr>
        <w:t>三、</w:t>
      </w:r>
      <w:r>
        <w:rPr>
          <w:rFonts w:hint="eastAsia" w:ascii="方正仿宋简体" w:hAnsi="方正仿宋简体" w:eastAsia="方正仿宋简体" w:cs="方正仿宋简体"/>
          <w:b/>
          <w:bCs/>
          <w:sz w:val="32"/>
          <w:szCs w:val="32"/>
        </w:rPr>
        <w:t>改进建议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1.</w:t>
      </w:r>
      <w:r>
        <w:rPr>
          <w:rFonts w:hint="eastAsia" w:ascii="方正仿宋简体" w:hAnsi="方正仿宋简体" w:eastAsia="方正仿宋简体" w:cs="方正仿宋简体"/>
          <w:sz w:val="32"/>
          <w:szCs w:val="32"/>
        </w:rPr>
        <w:t>加强宣传力度。充分利用广播、电视、报纸、横幅、标语、宣传栏、网络等新旧媒体的方式广泛宣传，让镇村干部和农民群众全面了解土地流转政策要求，确保农村承包地经营权流转政策进村入户，营造有利于进一步推进土地经营权流转良好氛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搞好服务指导。加强调查研究，及时掌握试点中出现的新情况新问题，做好政策评估，协调解决困难问题。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lang w:val="en-US" w:eastAsia="zh-CN"/>
        </w:rPr>
        <w:t>3.</w:t>
      </w:r>
      <w:r>
        <w:rPr>
          <w:rFonts w:hint="eastAsia" w:ascii="方正仿宋简体" w:hAnsi="方正仿宋简体" w:eastAsia="方正仿宋简体" w:cs="方正仿宋简体"/>
          <w:sz w:val="32"/>
          <w:szCs w:val="32"/>
        </w:rPr>
        <w:t>严把奖补程序。在农村土地承包经营权流转奖补工作中，严格按奖补条件、奖补方案、奖补标准。认真审核奖补申报相关资料，对符合条件的奖励对象及时报批和拨付奖补资金。</w:t>
      </w:r>
    </w:p>
    <w:p>
      <w:pPr>
        <w:keepNext w:val="0"/>
        <w:keepLines w:val="0"/>
        <w:pageBreakBefore w:val="0"/>
        <w:widowControl w:val="0"/>
        <w:shd w:val="solid" w:color="FFFFFF" w:fill="auto"/>
        <w:kinsoku/>
        <w:wordWrap/>
        <w:overflowPunct/>
        <w:topLinePunct w:val="0"/>
        <w:autoSpaceDE/>
        <w:autoSpaceDN w:val="0"/>
        <w:bidi w:val="0"/>
        <w:adjustRightInd/>
        <w:snapToGrid/>
        <w:spacing w:line="640" w:lineRule="exact"/>
        <w:ind w:firstLine="643" w:firstLineChars="200"/>
        <w:textAlignment w:val="auto"/>
        <w:rPr>
          <w:rFonts w:hint="eastAsia" w:ascii="方正仿宋简体" w:hAnsi="方正仿宋简体" w:eastAsia="方正仿宋简体" w:cs="方正仿宋简体"/>
          <w:b/>
          <w:bCs/>
          <w:color w:val="000000"/>
          <w:kern w:val="0"/>
          <w:sz w:val="32"/>
          <w:szCs w:val="32"/>
        </w:rPr>
      </w:pPr>
      <w:r>
        <w:rPr>
          <w:rFonts w:hint="eastAsia" w:ascii="方正仿宋简体" w:hAnsi="方正仿宋简体" w:eastAsia="方正仿宋简体" w:cs="方正仿宋简体"/>
          <w:b/>
          <w:bCs/>
          <w:color w:val="000000"/>
          <w:kern w:val="0"/>
          <w:sz w:val="32"/>
          <w:szCs w:val="32"/>
        </w:rPr>
        <w:t>四、资金管理</w:t>
      </w:r>
    </w:p>
    <w:p>
      <w:pPr>
        <w:pStyle w:val="11"/>
        <w:snapToGrid w:val="0"/>
        <w:spacing w:line="590" w:lineRule="exact"/>
        <w:ind w:firstLine="640" w:firstLineChars="200"/>
        <w:rPr>
          <w:rFonts w:hint="eastAsia" w:ascii="方正仿宋简体" w:hAnsi="方正仿宋简体" w:eastAsia="方正仿宋简体" w:cs="方正仿宋简体"/>
          <w:b/>
          <w:bCs/>
          <w:color w:val="000000"/>
          <w:sz w:val="32"/>
          <w:szCs w:val="32"/>
        </w:rPr>
      </w:pPr>
      <w:r>
        <w:rPr>
          <w:rFonts w:hint="eastAsia" w:ascii="方正仿宋简体" w:hAnsi="方正仿宋简体" w:eastAsia="方正仿宋简体" w:cs="方正仿宋简体"/>
          <w:color w:val="000000"/>
          <w:sz w:val="32"/>
          <w:szCs w:val="32"/>
        </w:rPr>
        <w:t>我局严格按照财金制度加强</w:t>
      </w:r>
      <w:r>
        <w:rPr>
          <w:rFonts w:hint="eastAsia" w:ascii="方正仿宋简体" w:hAnsi="方正仿宋简体" w:eastAsia="方正仿宋简体" w:cs="方正仿宋简体"/>
          <w:sz w:val="32"/>
          <w:szCs w:val="32"/>
        </w:rPr>
        <w:t>涉农</w:t>
      </w:r>
      <w:r>
        <w:rPr>
          <w:rFonts w:hint="eastAsia" w:ascii="方正仿宋简体" w:hAnsi="方正仿宋简体" w:eastAsia="方正仿宋简体" w:cs="方正仿宋简体"/>
          <w:color w:val="000000"/>
          <w:sz w:val="32"/>
          <w:szCs w:val="32"/>
        </w:rPr>
        <w:t>资金管理，采用统一财政支付，专款专用，没有挤占、截留和挪用。对资金申报、使用、管理中发现的骗取、挤占、截留、挪用补助资金行为的，按《财政违法行为处罚处分条例》规定处理，并追究有关单位及相关人员的违纪责任。</w:t>
      </w:r>
    </w:p>
    <w:p>
      <w:pPr>
        <w:pStyle w:val="13"/>
        <w:spacing w:line="460" w:lineRule="exact"/>
        <w:ind w:firstLine="643" w:firstLineChars="200"/>
        <w:rPr>
          <w:rFonts w:hint="eastAsia" w:ascii="方正仿宋简体" w:hAnsi="方正仿宋简体" w:eastAsia="方正仿宋简体" w:cs="方正仿宋简体"/>
          <w:b/>
          <w:bCs/>
          <w:sz w:val="32"/>
          <w:szCs w:val="32"/>
        </w:rPr>
      </w:pPr>
      <w:r>
        <w:rPr>
          <w:rFonts w:hint="eastAsia" w:ascii="方正仿宋简体" w:hAnsi="方正仿宋简体" w:eastAsia="方正仿宋简体" w:cs="方正仿宋简体"/>
          <w:b/>
          <w:bCs/>
          <w:sz w:val="32"/>
          <w:szCs w:val="32"/>
        </w:rPr>
        <w:t>五、自查结果</w:t>
      </w:r>
    </w:p>
    <w:p>
      <w:pP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color w:val="000000"/>
          <w:kern w:val="0"/>
          <w:sz w:val="32"/>
          <w:szCs w:val="32"/>
        </w:rPr>
        <w:t xml:space="preserve">    </w:t>
      </w:r>
      <w:r>
        <w:rPr>
          <w:rFonts w:hint="eastAsia" w:ascii="方正仿宋简体" w:hAnsi="方正仿宋简体" w:eastAsia="方正仿宋简体" w:cs="方正仿宋简体"/>
          <w:sz w:val="32"/>
          <w:szCs w:val="32"/>
        </w:rPr>
        <w:t>项目</w:t>
      </w:r>
      <w:r>
        <w:rPr>
          <w:rFonts w:hint="eastAsia" w:ascii="方正仿宋简体" w:hAnsi="方正仿宋简体" w:eastAsia="方正仿宋简体" w:cs="方正仿宋简体"/>
          <w:color w:val="000000"/>
          <w:kern w:val="0"/>
          <w:sz w:val="32"/>
          <w:szCs w:val="32"/>
        </w:rPr>
        <w:t>资金</w:t>
      </w:r>
      <w:r>
        <w:rPr>
          <w:rFonts w:hint="eastAsia" w:ascii="方正仿宋简体" w:hAnsi="方正仿宋简体" w:eastAsia="方正仿宋简体" w:cs="方正仿宋简体"/>
          <w:color w:val="000000"/>
          <w:sz w:val="32"/>
          <w:szCs w:val="32"/>
        </w:rPr>
        <w:t>使用</w:t>
      </w:r>
      <w:r>
        <w:rPr>
          <w:rFonts w:hint="eastAsia" w:ascii="方正仿宋简体" w:hAnsi="方正仿宋简体" w:eastAsia="方正仿宋简体" w:cs="方正仿宋简体"/>
          <w:sz w:val="32"/>
          <w:szCs w:val="32"/>
        </w:rPr>
        <w:t>无违法违规现象。</w:t>
      </w:r>
    </w:p>
    <w:p>
      <w:pPr>
        <w:rPr>
          <w:rFonts w:hint="eastAsia" w:ascii="方正仿宋简体" w:hAnsi="方正仿宋简体" w:eastAsia="方正仿宋简体" w:cs="方正仿宋简体"/>
          <w:sz w:val="32"/>
          <w:szCs w:val="32"/>
        </w:rPr>
      </w:pPr>
    </w:p>
    <w:p>
      <w:pPr>
        <w:pStyle w:val="9"/>
        <w:spacing w:line="360" w:lineRule="auto"/>
        <w:ind w:firstLine="640" w:firstLineChars="200"/>
        <w:outlineLvl w:val="0"/>
        <w:rPr>
          <w:rFonts w:hint="eastAsia" w:ascii="方正仿宋简体" w:hAnsi="方正仿宋简体" w:eastAsia="方正仿宋简体" w:cs="方正仿宋简体"/>
          <w:bCs/>
          <w:sz w:val="32"/>
          <w:szCs w:val="32"/>
        </w:rPr>
      </w:pPr>
    </w:p>
    <w:p>
      <w:pPr>
        <w:tabs>
          <w:tab w:val="left" w:pos="7920"/>
        </w:tabs>
        <w:spacing w:line="560" w:lineRule="exact"/>
        <w:ind w:firstLine="4000" w:firstLineChars="1250"/>
        <w:jc w:val="righ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乳源瑶族自治县农业农村局</w:t>
      </w:r>
    </w:p>
    <w:p>
      <w:pPr>
        <w:spacing w:line="560" w:lineRule="exact"/>
        <w:jc w:val="right"/>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 xml:space="preserve">                              202</w:t>
      </w:r>
      <w:r>
        <w:rPr>
          <w:rFonts w:hint="eastAsia" w:ascii="方正仿宋简体" w:hAnsi="方正仿宋简体" w:eastAsia="方正仿宋简体" w:cs="方正仿宋简体"/>
          <w:sz w:val="32"/>
          <w:szCs w:val="32"/>
          <w:lang w:val="en-US" w:eastAsia="zh-CN"/>
        </w:rPr>
        <w:t>2</w:t>
      </w:r>
      <w:r>
        <w:rPr>
          <w:rFonts w:hint="eastAsia" w:ascii="方正仿宋简体" w:hAnsi="方正仿宋简体" w:eastAsia="方正仿宋简体" w:cs="方正仿宋简体"/>
          <w:sz w:val="32"/>
          <w:szCs w:val="32"/>
        </w:rPr>
        <w:t>年</w:t>
      </w:r>
      <w:r>
        <w:rPr>
          <w:rFonts w:hint="eastAsia" w:ascii="方正仿宋简体" w:hAnsi="方正仿宋简体" w:eastAsia="方正仿宋简体" w:cs="方正仿宋简体"/>
          <w:sz w:val="32"/>
          <w:szCs w:val="32"/>
          <w:lang w:val="en-US" w:eastAsia="zh-CN"/>
        </w:rPr>
        <w:t>4</w:t>
      </w:r>
      <w:r>
        <w:rPr>
          <w:rFonts w:hint="eastAsia" w:ascii="方正仿宋简体" w:hAnsi="方正仿宋简体" w:eastAsia="方正仿宋简体" w:cs="方正仿宋简体"/>
          <w:sz w:val="32"/>
          <w:szCs w:val="32"/>
        </w:rPr>
        <w:t>月</w:t>
      </w:r>
      <w:r>
        <w:rPr>
          <w:rFonts w:hint="eastAsia" w:ascii="方正仿宋简体" w:hAnsi="方正仿宋简体" w:eastAsia="方正仿宋简体" w:cs="方正仿宋简体"/>
          <w:sz w:val="32"/>
          <w:szCs w:val="32"/>
          <w:lang w:val="en-US" w:eastAsia="zh-CN"/>
        </w:rPr>
        <w:t>24</w:t>
      </w:r>
      <w:bookmarkStart w:id="0" w:name="_GoBack"/>
      <w:bookmarkEnd w:id="0"/>
      <w:r>
        <w:rPr>
          <w:rFonts w:hint="eastAsia" w:ascii="方正仿宋简体" w:hAnsi="方正仿宋简体" w:eastAsia="方正仿宋简体" w:cs="方正仿宋简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简体" w:hAnsi="方正仿宋简体" w:eastAsia="方正仿宋简体" w:cs="方正仿宋简体"/>
          <w:b w:val="0"/>
          <w:bCs/>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68762A1"/>
    <w:rsid w:val="4957042B"/>
    <w:rsid w:val="498E5196"/>
    <w:rsid w:val="5375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rPr>
      <w:rFonts w:ascii="仿宋_GB2312"/>
      <w:sz w:val="24"/>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rFonts w:ascii="Times New Roman" w:hAnsi="Times New Roman" w:eastAsia="宋体" w:cs="Times New Roman"/>
      <w:sz w:val="18"/>
      <w:szCs w:val="18"/>
    </w:rPr>
  </w:style>
  <w:style w:type="character" w:customStyle="1" w:styleId="8">
    <w:name w:val="页脚 Char"/>
    <w:basedOn w:val="6"/>
    <w:link w:val="3"/>
    <w:semiHidden/>
    <w:qFormat/>
    <w:uiPriority w:val="99"/>
    <w:rPr>
      <w:rFonts w:ascii="Times New Roman" w:hAnsi="Times New Roman" w:eastAsia="宋体" w:cs="Times New Roman"/>
      <w:sz w:val="18"/>
      <w:szCs w:val="18"/>
    </w:rPr>
  </w:style>
  <w:style w:type="paragraph" w:customStyle="1" w:styleId="9">
    <w:name w:val="正文 New"/>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NormalCharacter"/>
    <w:qFormat/>
    <w:uiPriority w:val="0"/>
    <w:rPr>
      <w:rFonts w:ascii="Calibri" w:hAnsi="Calibri" w:eastAsia="宋体" w:cs="Times New Roman"/>
    </w:rPr>
  </w:style>
  <w:style w:type="paragraph" w:customStyle="1" w:styleId="11">
    <w:name w:val="纯文本 New"/>
    <w:basedOn w:val="12"/>
    <w:qFormat/>
    <w:uiPriority w:val="0"/>
    <w:rPr>
      <w:rFonts w:ascii="宋体" w:hAnsi="Courier New" w:eastAsia="宋体" w:cs="Courier New"/>
      <w:sz w:val="21"/>
      <w:szCs w:val="21"/>
    </w:rPr>
  </w:style>
  <w:style w:type="paragraph" w:customStyle="1" w:styleId="12">
    <w:name w:val="正文 New New New"/>
    <w:qFormat/>
    <w:uiPriority w:val="0"/>
    <w:pPr>
      <w:widowControl w:val="0"/>
      <w:jc w:val="both"/>
    </w:pPr>
    <w:rPr>
      <w:rFonts w:ascii="Times New Roman" w:hAnsi="Times New Roman" w:eastAsia="仿宋_GB2312" w:cs="Times New Roman"/>
      <w:snapToGrid w:val="0"/>
      <w:sz w:val="32"/>
      <w:szCs w:val="32"/>
      <w:lang w:val="en-US" w:eastAsia="zh-CN" w:bidi="ar-SA"/>
    </w:rPr>
  </w:style>
  <w:style w:type="paragraph" w:customStyle="1" w:styleId="13">
    <w:name w:val="正文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1171</Words>
  <Characters>1213</Characters>
  <Lines>1</Lines>
  <Paragraphs>1</Paragraphs>
  <TotalTime>4</TotalTime>
  <ScaleCrop>false</ScaleCrop>
  <LinksUpToDate>false</LinksUpToDate>
  <CharactersWithSpaces>1247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2022-04-24T03:17:16Z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commondata">
    <vt:lpwstr>eyJoZGlkIjoiNDFmM2NhZGVlYjllNTk0Yzg0YWU5YjRkZDM0Y2VkYjgifQ==</vt:lpwstr>
  </property>
  <property fmtid="{D5CDD505-2E9C-101B-9397-08002B2CF9AE}" pid="4" name="ICV">
    <vt:lpwstr>3EB89EAA71734FDC840E78FCC047D925</vt:lpwstr>
  </property>
</Properties>
</file>