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r>
        <w:rPr>
          <w:rFonts w:hint="eastAsia" w:ascii="仿宋_GB2312" w:eastAsia="仿宋_GB2312"/>
          <w:sz w:val="32"/>
          <w:szCs w:val="32"/>
          <w:lang w:eastAsia="zh-CN"/>
        </w:rPr>
        <w:t>执法股属于乳源瑶族自治县农业农村局内设局机关股室，主要负责全县农业行政执法工作。承担农业突发事件预警评估、风险排查、应急演练、协调处置工作。协调农业应急工作。监督管理渔业、渔船和渔港等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1、项目实施内容：</w:t>
      </w:r>
      <w:r>
        <w:rPr>
          <w:rFonts w:hint="eastAsia" w:ascii="仿宋_GB2312" w:eastAsia="仿宋_GB2312"/>
          <w:sz w:val="32"/>
          <w:szCs w:val="32"/>
        </w:rPr>
        <w:t>用于保证渔业安全生产、打击非法捕捞行为等巡查工作时的执法船艇燃油及维护等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</w:rPr>
        <w:t>开支。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2、实施程序：</w:t>
      </w:r>
      <w:r>
        <w:rPr>
          <w:rFonts w:hint="eastAsia" w:ascii="仿宋_GB2312" w:eastAsia="仿宋_GB2312"/>
          <w:sz w:val="32"/>
          <w:szCs w:val="32"/>
        </w:rPr>
        <w:t>按照国库直接支付程序和县级预算资金使用计划，将相关项目发票附带有关资料到财政申拨。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50000元。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实际支出金额为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50000元。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用于</w:t>
      </w:r>
      <w:r>
        <w:rPr>
          <w:rFonts w:hint="eastAsia" w:ascii="仿宋_GB2312" w:eastAsia="仿宋_GB2312"/>
          <w:sz w:val="32"/>
          <w:szCs w:val="32"/>
        </w:rPr>
        <w:t>执法船艇燃油及维护</w:t>
      </w:r>
      <w:r>
        <w:rPr>
          <w:rFonts w:hint="eastAsia" w:ascii="仿宋_GB2312" w:eastAsia="仿宋_GB2312"/>
          <w:sz w:val="32"/>
          <w:szCs w:val="32"/>
          <w:lang w:eastAsia="zh-CN"/>
        </w:rPr>
        <w:t>、修理</w:t>
      </w:r>
      <w:r>
        <w:rPr>
          <w:rFonts w:hint="eastAsia" w:ascii="仿宋_GB2312" w:eastAsia="仿宋_GB2312"/>
          <w:sz w:val="32"/>
          <w:szCs w:val="32"/>
        </w:rPr>
        <w:t>等开支</w:t>
      </w:r>
      <w:r>
        <w:rPr>
          <w:rFonts w:hint="eastAsia" w:ascii="仿宋_GB2312" w:eastAsia="仿宋_GB2312"/>
          <w:sz w:val="32"/>
          <w:szCs w:val="32"/>
          <w:lang w:eastAsia="zh-CN"/>
        </w:rPr>
        <w:t>费用。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（1）经济效益。通过打击非法捕捞行为，保护了鱼类资源，渔民捕捞的产量效益都得到了一定程度的提高，增加了渔民的收入，促进了渔民增收。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（2）社会效益。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船艇</w:t>
      </w:r>
      <w:r>
        <w:rPr>
          <w:rFonts w:hint="eastAsia" w:ascii="仿宋" w:hAnsi="仿宋" w:eastAsia="仿宋" w:cs="仿宋"/>
          <w:sz w:val="32"/>
          <w:szCs w:val="32"/>
        </w:rPr>
        <w:t>燃油经费到位，执法巡查次数得到保障，一方面有效监督和知道渔民安全生产，有效保障渔民生命和财产安全。另一方面打击非法捕捞行动得到保证，宣传和执法到位，人民群众保护鱼类资源的意识逐渐增强，非法捕捞行为明显减少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（1）生态效益。通过打击非法捕捞行为，鱼类得到了有效的保护，尤其是一些濒临灭绝的稀有鱼类得到了很大的保护，实现了鱼类资源的可持续发展。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（2）经济可持续影响。打击非法捕捞行为，一定程度地使渔民增收，渔民满意度不断提升。</w:t>
      </w:r>
    </w:p>
    <w:p>
      <w:pPr>
        <w:spacing w:line="52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（3）可持续影响指标。通过执法巡查，我县鱼类资源得到了很大的保护，实现渔业资源的可持续发展。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eastAsia="zh-CN"/>
        </w:rPr>
        <w:t>我县辖区内水域广，有南水水库和南水河等辖区水域，执法人员、资金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还不足以支撑开展多次的巡逻执法工作。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为了更好的开展日常巡逻执法工作，希望加大对此项资金的投入力度。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57789"/>
    <w:multiLevelType w:val="singleLevel"/>
    <w:tmpl w:val="7EA5778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AD41745"/>
    <w:rsid w:val="18DA6513"/>
    <w:rsid w:val="1BEA0FB0"/>
    <w:rsid w:val="2A0C3112"/>
    <w:rsid w:val="39921607"/>
    <w:rsid w:val="468762A1"/>
    <w:rsid w:val="5375086E"/>
    <w:rsid w:val="7E43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813</Words>
  <Characters>821</Characters>
  <Lines>1</Lines>
  <Paragraphs>1</Paragraphs>
  <TotalTime>1</TotalTime>
  <ScaleCrop>false</ScaleCrop>
  <LinksUpToDate>false</LinksUpToDate>
  <CharactersWithSpaces>821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2022-03-29T09:04:45Z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B230AF3629C8482B83EBFEB4E338859A</vt:lpwstr>
  </property>
</Properties>
</file>