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宋体" w:cs="宋体"/>
          <w:b/>
          <w:bCs/>
          <w:sz w:val="36"/>
          <w:szCs w:val="36"/>
        </w:rPr>
      </w:pPr>
      <w:r>
        <w:rPr>
          <w:rFonts w:hint="eastAsia" w:ascii="宋体" w:hAnsi="宋体" w:cs="宋体"/>
          <w:sz w:val="32"/>
          <w:szCs w:val="32"/>
        </w:rPr>
        <w:t>附件</w:t>
      </w:r>
      <w:r>
        <w:rPr>
          <w:rFonts w:ascii="宋体" w:hAnsi="宋体" w:cs="宋体"/>
          <w:sz w:val="32"/>
          <w:szCs w:val="32"/>
        </w:rPr>
        <w:t>2-2</w:t>
      </w:r>
    </w:p>
    <w:p>
      <w:pPr>
        <w:spacing w:line="500" w:lineRule="exact"/>
        <w:jc w:val="center"/>
        <w:rPr>
          <w:rFonts w:ascii="宋体" w:cs="宋体"/>
          <w:b/>
          <w:bCs/>
          <w:sz w:val="36"/>
          <w:szCs w:val="36"/>
        </w:rPr>
      </w:pPr>
      <w:r>
        <w:rPr>
          <w:rFonts w:hint="eastAsia" w:ascii="宋体" w:hAnsi="宋体" w:cs="宋体"/>
          <w:b/>
          <w:bCs/>
          <w:sz w:val="36"/>
          <w:szCs w:val="36"/>
        </w:rPr>
        <w:t>高考和中考</w:t>
      </w:r>
      <w:r>
        <w:rPr>
          <w:rFonts w:hint="eastAsia" w:ascii="宋体" w:hAnsi="宋体" w:cs="宋体"/>
          <w:b/>
          <w:bCs/>
          <w:sz w:val="36"/>
          <w:szCs w:val="36"/>
          <w:lang w:eastAsia="zh-CN"/>
        </w:rPr>
        <w:t>考试费</w:t>
      </w:r>
      <w:r>
        <w:rPr>
          <w:rFonts w:hint="eastAsia" w:ascii="宋体" w:hAnsi="宋体" w:cs="宋体"/>
          <w:b/>
          <w:bCs/>
          <w:sz w:val="36"/>
          <w:szCs w:val="36"/>
        </w:rPr>
        <w:t>支出项目绩效自评报告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hint="eastAsia" w:ascii="宋体" w:hAnsi="宋体" w:cs="宋体"/>
          <w:sz w:val="28"/>
          <w:szCs w:val="28"/>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hint="eastAsia" w:ascii="宋体" w:hAnsi="宋体" w:cs="宋体"/>
          <w:sz w:val="28"/>
          <w:szCs w:val="28"/>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乳源高级中学</w:t>
      </w:r>
      <w:r>
        <w:rPr>
          <w:rFonts w:ascii="宋体" w:hAnsi="宋体" w:cs="宋体"/>
          <w:sz w:val="28"/>
          <w:szCs w:val="28"/>
        </w:rPr>
        <w:t>创建于2003年</w:t>
      </w:r>
      <w:r>
        <w:rPr>
          <w:rFonts w:hint="eastAsia" w:ascii="宋体" w:hAnsi="宋体" w:cs="宋体"/>
          <w:sz w:val="28"/>
          <w:szCs w:val="28"/>
        </w:rPr>
        <w:t>，是我县唯一一所全日制普通高中</w:t>
      </w:r>
      <w:r>
        <w:rPr>
          <w:rFonts w:hint="eastAsia" w:ascii="宋体" w:hAnsi="宋体" w:cs="宋体"/>
          <w:sz w:val="28"/>
          <w:szCs w:val="28"/>
          <w:lang w:eastAsia="zh-CN"/>
        </w:rPr>
        <w:t>；</w:t>
      </w:r>
      <w:r>
        <w:rPr>
          <w:rFonts w:hint="eastAsia" w:ascii="宋体" w:hAnsi="宋体" w:cs="宋体"/>
          <w:sz w:val="28"/>
          <w:szCs w:val="28"/>
        </w:rPr>
        <w:t>乳源瑶族自治县中等职业技术学校是由人民政府举办的一所全日制中等职业技术学校，开设有9个专业和3+技能证书高考班</w:t>
      </w:r>
      <w:r>
        <w:rPr>
          <w:rFonts w:hint="eastAsia" w:ascii="宋体" w:hAnsi="宋体" w:cs="宋体"/>
          <w:sz w:val="28"/>
          <w:szCs w:val="28"/>
          <w:lang w:eastAsia="zh-CN"/>
        </w:rPr>
        <w:t>；</w:t>
      </w:r>
      <w:r>
        <w:rPr>
          <w:rFonts w:hint="eastAsia" w:ascii="宋体" w:hAnsi="宋体" w:cs="宋体"/>
          <w:sz w:val="28"/>
          <w:szCs w:val="28"/>
        </w:rPr>
        <w:t>乳源中学、民族实验学校、侯公渡初级中学、一六镇初级中学、桂头中学、大桥镇初级中学</w:t>
      </w:r>
      <w:r>
        <w:rPr>
          <w:rFonts w:hint="eastAsia" w:ascii="宋体" w:hAnsi="宋体" w:cs="宋体"/>
          <w:sz w:val="28"/>
          <w:szCs w:val="28"/>
          <w:lang w:eastAsia="zh-CN"/>
        </w:rPr>
        <w:t>、大布镇初级中学</w:t>
      </w:r>
      <w:r>
        <w:rPr>
          <w:rFonts w:hint="eastAsia" w:ascii="宋体" w:hAnsi="宋体" w:cs="宋体"/>
          <w:sz w:val="28"/>
          <w:szCs w:val="28"/>
        </w:rPr>
        <w:t>是义务教育阶段初级中学。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hint="eastAsia" w:ascii="宋体" w:hAnsi="宋体" w:cs="宋体"/>
          <w:sz w:val="28"/>
          <w:szCs w:val="28"/>
        </w:rPr>
        <w:t>（二）项目实施主要内容及实施程序。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1</w:t>
      </w:r>
      <w:r>
        <w:rPr>
          <w:rFonts w:hint="eastAsia" w:ascii="宋体" w:hAnsi="宋体" w:cs="宋体"/>
          <w:sz w:val="28"/>
          <w:szCs w:val="28"/>
          <w:lang w:val="en-US" w:eastAsia="zh-CN"/>
        </w:rPr>
        <w:t>.</w:t>
      </w:r>
      <w:r>
        <w:rPr>
          <w:rFonts w:hint="eastAsia" w:ascii="宋体" w:hAnsi="宋体" w:cs="宋体"/>
          <w:sz w:val="28"/>
          <w:szCs w:val="28"/>
        </w:rPr>
        <w:t>项目实施主要内容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高考和中考</w:t>
      </w:r>
      <w:r>
        <w:rPr>
          <w:rFonts w:hint="eastAsia" w:ascii="宋体" w:hAnsi="宋体" w:cs="宋体"/>
          <w:sz w:val="28"/>
          <w:szCs w:val="28"/>
          <w:lang w:eastAsia="zh-CN"/>
        </w:rPr>
        <w:t>考试</w:t>
      </w:r>
      <w:r>
        <w:rPr>
          <w:rFonts w:hint="eastAsia" w:ascii="宋体" w:hAnsi="宋体" w:cs="宋体"/>
          <w:sz w:val="28"/>
          <w:szCs w:val="28"/>
        </w:rPr>
        <w:t>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2</w:t>
      </w:r>
      <w:r>
        <w:rPr>
          <w:rFonts w:hint="eastAsia" w:ascii="宋体" w:hAnsi="宋体" w:cs="宋体"/>
          <w:sz w:val="28"/>
          <w:szCs w:val="28"/>
          <w:lang w:val="en-US" w:eastAsia="zh-CN"/>
        </w:rPr>
        <w:t>.</w:t>
      </w:r>
      <w:r>
        <w:rPr>
          <w:rFonts w:hint="eastAsia" w:ascii="宋体" w:hAnsi="宋体" w:cs="宋体"/>
          <w:sz w:val="28"/>
          <w:szCs w:val="28"/>
        </w:rPr>
        <w:t>实施程序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考试中心明确资金使用范围，学校负责具体发放。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hAnsi="宋体" w:cs="宋体"/>
          <w:sz w:val="28"/>
          <w:szCs w:val="28"/>
        </w:rPr>
      </w:pPr>
      <w:r>
        <w:rPr>
          <w:rFonts w:hint="eastAsia" w:ascii="宋体" w:hAnsi="宋体" w:cs="宋体"/>
          <w:sz w:val="28"/>
          <w:szCs w:val="28"/>
        </w:rPr>
        <w:t>（三）综述项目自评等级和分数，并对照佐证材料逐一分析。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hint="eastAsia" w:ascii="宋体" w:hAnsi="宋体" w:cs="宋体"/>
          <w:sz w:val="28"/>
          <w:szCs w:val="28"/>
        </w:rPr>
        <w:t>项目自评优秀等级，无扣分。在既定的期限内完成了高考和中考</w:t>
      </w:r>
      <w:r>
        <w:rPr>
          <w:rFonts w:hint="eastAsia" w:ascii="宋体" w:hAnsi="宋体" w:cs="宋体"/>
          <w:sz w:val="28"/>
          <w:szCs w:val="28"/>
          <w:lang w:eastAsia="zh-CN"/>
        </w:rPr>
        <w:t>考试费</w:t>
      </w:r>
      <w:r>
        <w:rPr>
          <w:rFonts w:hint="eastAsia" w:ascii="宋体" w:hAnsi="宋体" w:cs="宋体"/>
          <w:sz w:val="28"/>
          <w:szCs w:val="28"/>
        </w:rPr>
        <w:t>的支付</w:t>
      </w:r>
      <w:r>
        <w:rPr>
          <w:rFonts w:hint="eastAsia" w:ascii="宋体" w:hAnsi="宋体" w:cs="宋体"/>
          <w:sz w:val="28"/>
          <w:szCs w:val="28"/>
          <w:lang w:eastAsia="zh-CN"/>
        </w:rPr>
        <w:t>，</w:t>
      </w:r>
      <w:r>
        <w:rPr>
          <w:rFonts w:hint="eastAsia" w:ascii="宋体" w:hAnsi="宋体" w:cs="宋体"/>
          <w:sz w:val="28"/>
          <w:szCs w:val="28"/>
        </w:rPr>
        <w:t>产生积极效益。项目实施均在资金文件规定的使用范围。项目管理及资金管理均合乎要求，无违规违纪问题。支付途径客观公平。</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ascii="宋体" w:cs="宋体"/>
          <w:b/>
          <w:bCs/>
          <w:sz w:val="28"/>
          <w:szCs w:val="28"/>
        </w:rPr>
      </w:pPr>
      <w:r>
        <w:rPr>
          <w:rFonts w:hint="eastAsia" w:ascii="宋体" w:hAnsi="宋体" w:cs="宋体"/>
          <w:b/>
          <w:bCs/>
          <w:sz w:val="28"/>
          <w:szCs w:val="28"/>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hint="eastAsia" w:ascii="宋体" w:hAnsi="宋体" w:cs="宋体"/>
          <w:sz w:val="28"/>
          <w:szCs w:val="28"/>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宋体" w:cs="宋体"/>
          <w:sz w:val="28"/>
          <w:szCs w:val="28"/>
        </w:rPr>
      </w:pPr>
      <w:r>
        <w:rPr>
          <w:rFonts w:ascii="宋体" w:hAnsi="宋体" w:cs="宋体"/>
          <w:sz w:val="28"/>
          <w:szCs w:val="28"/>
        </w:rPr>
        <w:t>1</w:t>
      </w:r>
      <w:r>
        <w:rPr>
          <w:rFonts w:hint="eastAsia" w:ascii="宋体" w:hAnsi="宋体" w:cs="宋体"/>
          <w:sz w:val="28"/>
          <w:szCs w:val="28"/>
          <w:lang w:val="en-US" w:eastAsia="zh-CN"/>
        </w:rPr>
        <w:t>.</w:t>
      </w:r>
      <w:r>
        <w:rPr>
          <w:rFonts w:hint="eastAsia" w:ascii="宋体" w:hAnsi="宋体" w:cs="宋体"/>
          <w:sz w:val="28"/>
          <w:szCs w:val="28"/>
        </w:rPr>
        <w:t>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cs="宋体"/>
          <w:i w:val="0"/>
          <w:color w:val="000000"/>
          <w:kern w:val="0"/>
          <w:sz w:val="28"/>
          <w:szCs w:val="28"/>
          <w:u w:val="none"/>
          <w:lang w:val="en-US" w:eastAsia="zh-CN" w:bidi="ar"/>
        </w:rPr>
      </w:pPr>
      <w:r>
        <w:rPr>
          <w:rFonts w:hint="eastAsia" w:ascii="宋体" w:hAnsi="宋体" w:cs="宋体"/>
          <w:sz w:val="28"/>
          <w:szCs w:val="28"/>
        </w:rPr>
        <w:t>县财政拨付的高考和中考监考费为</w:t>
      </w:r>
      <w:r>
        <w:rPr>
          <w:rFonts w:hint="eastAsia" w:ascii="宋体" w:hAnsi="宋体" w:cs="宋体"/>
          <w:sz w:val="28"/>
          <w:szCs w:val="28"/>
          <w:lang w:val="en-US" w:eastAsia="zh-CN"/>
        </w:rPr>
        <w:t>64.3</w:t>
      </w:r>
      <w:r>
        <w:rPr>
          <w:rFonts w:hint="eastAsia" w:ascii="宋体" w:hAnsi="宋体" w:cs="宋体"/>
          <w:sz w:val="28"/>
          <w:szCs w:val="28"/>
        </w:rPr>
        <w:t>万元</w:t>
      </w:r>
      <w:r>
        <w:rPr>
          <w:rFonts w:hint="eastAsia" w:ascii="宋体" w:hAnsi="宋体" w:cs="宋体"/>
          <w:sz w:val="28"/>
          <w:szCs w:val="28"/>
          <w:lang w:eastAsia="zh-CN"/>
        </w:rPr>
        <w:t>，其他考试费用</w:t>
      </w:r>
      <w:r>
        <w:rPr>
          <w:rFonts w:hint="eastAsia" w:ascii="宋体" w:hAnsi="宋体" w:cs="宋体"/>
          <w:sz w:val="28"/>
          <w:szCs w:val="28"/>
          <w:lang w:val="en-US" w:eastAsia="zh-CN"/>
        </w:rPr>
        <w:t>34.0751万元，合计98.3751</w:t>
      </w:r>
      <w:r>
        <w:rPr>
          <w:rFonts w:hint="eastAsia" w:ascii="宋体" w:hAnsi="宋体" w:cs="宋体"/>
          <w:i w:val="0"/>
          <w:color w:val="000000"/>
          <w:kern w:val="0"/>
          <w:sz w:val="28"/>
          <w:szCs w:val="28"/>
          <w:u w:val="none"/>
          <w:lang w:val="en-US" w:eastAsia="zh-CN" w:bidi="ar"/>
        </w:rPr>
        <w:t>万元。具体见下表：</w:t>
      </w:r>
    </w:p>
    <w:p>
      <w:pPr>
        <w:spacing w:line="500" w:lineRule="exact"/>
        <w:ind w:firstLine="560" w:firstLineChars="200"/>
        <w:rPr>
          <w:rFonts w:hint="eastAsia" w:ascii="宋体" w:hAnsi="宋体" w:cs="宋体"/>
          <w:i w:val="0"/>
          <w:color w:val="000000"/>
          <w:kern w:val="0"/>
          <w:sz w:val="28"/>
          <w:szCs w:val="28"/>
          <w:u w:val="none"/>
          <w:lang w:val="en-US" w:eastAsia="zh-CN" w:bidi="ar"/>
        </w:rPr>
      </w:pPr>
    </w:p>
    <w:p>
      <w:pPr>
        <w:spacing w:line="500" w:lineRule="exact"/>
        <w:ind w:firstLine="560" w:firstLineChars="200"/>
        <w:rPr>
          <w:rFonts w:hint="eastAsia" w:ascii="宋体" w:hAnsi="宋体" w:cs="宋体"/>
          <w:i w:val="0"/>
          <w:color w:val="000000"/>
          <w:kern w:val="0"/>
          <w:sz w:val="28"/>
          <w:szCs w:val="28"/>
          <w:u w:val="none"/>
          <w:lang w:val="en-US" w:eastAsia="zh-CN" w:bidi="ar"/>
        </w:rPr>
      </w:pPr>
      <w:bookmarkStart w:id="0" w:name="_GoBack"/>
      <w:bookmarkEnd w:id="0"/>
    </w:p>
    <w:p>
      <w:pPr>
        <w:spacing w:line="500" w:lineRule="exact"/>
        <w:ind w:firstLine="560" w:firstLineChars="200"/>
        <w:rPr>
          <w:rFonts w:hint="eastAsia" w:ascii="宋体" w:hAnsi="宋体" w:cs="宋体"/>
          <w:i w:val="0"/>
          <w:color w:val="000000"/>
          <w:kern w:val="0"/>
          <w:sz w:val="28"/>
          <w:szCs w:val="28"/>
          <w:u w:val="none"/>
          <w:lang w:val="en-US" w:eastAsia="zh-CN" w:bidi="ar"/>
        </w:rPr>
      </w:pPr>
      <w:r>
        <w:rPr>
          <w:rFonts w:hint="eastAsia" w:ascii="宋体" w:hAnsi="宋体" w:cs="宋体"/>
          <w:i w:val="0"/>
          <w:color w:val="000000"/>
          <w:kern w:val="0"/>
          <w:sz w:val="28"/>
          <w:szCs w:val="28"/>
          <w:u w:val="none"/>
          <w:lang w:val="en-US" w:eastAsia="zh-CN" w:bidi="ar"/>
        </w:rPr>
        <w:t>2021年乳源瑶族自治县教育统一考试经费统计表</w:t>
      </w:r>
    </w:p>
    <w:p>
      <w:pPr>
        <w:spacing w:line="500" w:lineRule="exact"/>
        <w:ind w:firstLine="560" w:firstLineChars="200"/>
        <w:rPr>
          <w:rFonts w:hint="eastAsia" w:ascii="仿宋_GB2312" w:hAnsi="仿宋_GB2312" w:eastAsia="仿宋_GB2312" w:cs="仿宋_GB2312"/>
          <w:i w:val="0"/>
          <w:color w:val="000000"/>
          <w:kern w:val="0"/>
          <w:sz w:val="28"/>
          <w:szCs w:val="28"/>
          <w:u w:val="none"/>
          <w:lang w:val="en-US" w:eastAsia="zh-CN" w:bidi="ar"/>
        </w:rPr>
      </w:pPr>
    </w:p>
    <w:tbl>
      <w:tblPr>
        <w:tblStyle w:val="4"/>
        <w:tblW w:w="8647" w:type="dxa"/>
        <w:tblInd w:w="0" w:type="dxa"/>
        <w:shd w:val="clear" w:color="auto" w:fill="auto"/>
        <w:tblLayout w:type="fixed"/>
        <w:tblCellMar>
          <w:top w:w="0" w:type="dxa"/>
          <w:left w:w="0" w:type="dxa"/>
          <w:bottom w:w="0" w:type="dxa"/>
          <w:right w:w="0" w:type="dxa"/>
        </w:tblCellMar>
      </w:tblPr>
      <w:tblGrid>
        <w:gridCol w:w="727"/>
        <w:gridCol w:w="3900"/>
        <w:gridCol w:w="1308"/>
        <w:gridCol w:w="2712"/>
      </w:tblGrid>
      <w:tr>
        <w:tblPrEx>
          <w:shd w:val="clear" w:color="auto" w:fill="auto"/>
          <w:tblCellMar>
            <w:top w:w="0" w:type="dxa"/>
            <w:left w:w="0" w:type="dxa"/>
            <w:bottom w:w="0" w:type="dxa"/>
            <w:right w:w="0" w:type="dxa"/>
          </w:tblCellMar>
        </w:tblPrEx>
        <w:trPr>
          <w:trHeight w:val="80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序号</w:t>
            </w:r>
          </w:p>
        </w:tc>
        <w:tc>
          <w:tcPr>
            <w:tcW w:w="390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资金来源</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金额（元）</w:t>
            </w:r>
          </w:p>
        </w:tc>
        <w:tc>
          <w:tcPr>
            <w:tcW w:w="27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8"/>
                <w:szCs w:val="28"/>
                <w:u w:val="none"/>
              </w:rPr>
            </w:pPr>
            <w:r>
              <w:rPr>
                <w:rFonts w:hint="eastAsia" w:ascii="仿宋_GB2312" w:hAnsi="仿宋_GB2312" w:eastAsia="仿宋_GB2312" w:cs="仿宋_GB2312"/>
                <w:b/>
                <w:i w:val="0"/>
                <w:color w:val="000000"/>
                <w:kern w:val="0"/>
                <w:sz w:val="28"/>
                <w:szCs w:val="28"/>
                <w:u w:val="none"/>
                <w:lang w:val="en-US" w:eastAsia="zh-CN" w:bidi="ar"/>
              </w:rPr>
              <w:t>备注</w:t>
            </w:r>
          </w:p>
        </w:tc>
      </w:tr>
      <w:tr>
        <w:tblPrEx>
          <w:tblCellMar>
            <w:top w:w="0" w:type="dxa"/>
            <w:left w:w="0" w:type="dxa"/>
            <w:bottom w:w="0" w:type="dxa"/>
            <w:right w:w="0" w:type="dxa"/>
          </w:tblCellMar>
        </w:tblPrEx>
        <w:trPr>
          <w:trHeight w:val="40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top"/>
          </w:tcPr>
          <w:p>
            <w:pPr>
              <w:keepNext w:val="0"/>
              <w:keepLines w:val="0"/>
              <w:widowControl/>
              <w:suppressLineNumbers w:val="0"/>
              <w:jc w:val="center"/>
              <w:textAlignment w:val="top"/>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1</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高考和中考考试费</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643000 </w:t>
            </w:r>
          </w:p>
        </w:tc>
        <w:tc>
          <w:tcPr>
            <w:tcW w:w="27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2021县级部门预算</w:t>
            </w:r>
          </w:p>
        </w:tc>
      </w:tr>
      <w:tr>
        <w:tblPrEx>
          <w:tblCellMar>
            <w:top w:w="0" w:type="dxa"/>
            <w:left w:w="0" w:type="dxa"/>
            <w:bottom w:w="0" w:type="dxa"/>
            <w:right w:w="0" w:type="dxa"/>
          </w:tblCellMar>
        </w:tblPrEx>
        <w:trPr>
          <w:trHeight w:val="56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top"/>
          </w:tcPr>
          <w:p>
            <w:pPr>
              <w:keepNext w:val="0"/>
              <w:keepLines w:val="0"/>
              <w:widowControl/>
              <w:suppressLineNumbers w:val="0"/>
              <w:jc w:val="center"/>
              <w:textAlignment w:val="top"/>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2021 年普通高考及高中学业水平考试经费</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 xml:space="preserve">238615 </w:t>
            </w:r>
          </w:p>
        </w:tc>
        <w:tc>
          <w:tcPr>
            <w:tcW w:w="27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韶财科教〔2021〕65 号</w:t>
            </w:r>
          </w:p>
        </w:tc>
      </w:tr>
      <w:tr>
        <w:tblPrEx>
          <w:tblCellMar>
            <w:top w:w="0" w:type="dxa"/>
            <w:left w:w="0" w:type="dxa"/>
            <w:bottom w:w="0" w:type="dxa"/>
            <w:right w:w="0" w:type="dxa"/>
          </w:tblCellMar>
        </w:tblPrEx>
        <w:trPr>
          <w:trHeight w:val="560" w:hRule="atLeast"/>
        </w:trPr>
        <w:tc>
          <w:tcPr>
            <w:tcW w:w="7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top"/>
          </w:tcPr>
          <w:p>
            <w:pPr>
              <w:keepNext w:val="0"/>
              <w:keepLines w:val="0"/>
              <w:widowControl/>
              <w:suppressLineNumbers w:val="0"/>
              <w:jc w:val="center"/>
              <w:textAlignment w:val="top"/>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3</w:t>
            </w:r>
          </w:p>
        </w:tc>
        <w:tc>
          <w:tcPr>
            <w:tcW w:w="390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教育统一考试工作经费</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102136</w:t>
            </w:r>
          </w:p>
        </w:tc>
        <w:tc>
          <w:tcPr>
            <w:tcW w:w="271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2021县级部门预算</w:t>
            </w:r>
          </w:p>
        </w:tc>
      </w:tr>
      <w:tr>
        <w:tblPrEx>
          <w:tblCellMar>
            <w:top w:w="0" w:type="dxa"/>
            <w:left w:w="0" w:type="dxa"/>
            <w:bottom w:w="0" w:type="dxa"/>
            <w:right w:w="0" w:type="dxa"/>
          </w:tblCellMar>
        </w:tblPrEx>
        <w:trPr>
          <w:trHeight w:val="500" w:hRule="atLeast"/>
        </w:trPr>
        <w:tc>
          <w:tcPr>
            <w:tcW w:w="4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4"/>
                <w:szCs w:val="24"/>
                <w:u w:val="none"/>
                <w:lang w:val="en-US" w:eastAsia="zh-CN" w:bidi="ar"/>
              </w:rPr>
              <w:t>合计（元）</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default" w:ascii="仿宋_GB2312" w:hAnsi="仿宋_GB2312" w:eastAsia="仿宋_GB2312" w:cs="仿宋_GB2312"/>
                <w:i w:val="0"/>
                <w:color w:val="000000"/>
                <w:sz w:val="24"/>
                <w:szCs w:val="24"/>
                <w:u w:val="none"/>
                <w:lang w:val="en-US" w:eastAsia="zh-CN"/>
              </w:rPr>
            </w:pPr>
            <w:r>
              <w:rPr>
                <w:rFonts w:hint="eastAsia" w:ascii="仿宋_GB2312" w:hAnsi="仿宋_GB2312" w:eastAsia="仿宋_GB2312" w:cs="仿宋_GB2312"/>
                <w:i w:val="0"/>
                <w:color w:val="000000"/>
                <w:sz w:val="24"/>
                <w:szCs w:val="24"/>
                <w:u w:val="none"/>
                <w:lang w:val="en-US" w:eastAsia="zh-CN"/>
              </w:rPr>
              <w:t>983751</w:t>
            </w:r>
          </w:p>
        </w:tc>
        <w:tc>
          <w:tcPr>
            <w:tcW w:w="271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left"/>
              <w:rPr>
                <w:rFonts w:hint="eastAsia" w:ascii="仿宋_GB2312" w:hAnsi="仿宋_GB2312" w:eastAsia="仿宋_GB2312" w:cs="仿宋_GB2312"/>
                <w:i w:val="0"/>
                <w:color w:val="000000"/>
                <w:sz w:val="24"/>
                <w:szCs w:val="24"/>
                <w:u w:val="none"/>
              </w:rPr>
            </w:pPr>
          </w:p>
        </w:tc>
      </w:tr>
    </w:tbl>
    <w:p>
      <w:pPr>
        <w:spacing w:line="500" w:lineRule="exact"/>
        <w:ind w:firstLine="560" w:firstLineChars="200"/>
        <w:rPr>
          <w:rFonts w:ascii="宋体" w:cs="宋体"/>
          <w:sz w:val="28"/>
          <w:szCs w:val="28"/>
        </w:rPr>
      </w:pPr>
    </w:p>
    <w:p>
      <w:pPr>
        <w:numPr>
          <w:ilvl w:val="0"/>
          <w:numId w:val="0"/>
        </w:numPr>
        <w:spacing w:line="500" w:lineRule="exact"/>
        <w:ind w:firstLine="560" w:firstLineChars="200"/>
        <w:rPr>
          <w:rFonts w:hint="eastAsia" w:ascii="宋体" w:hAnsi="宋体" w:cs="宋体"/>
          <w:sz w:val="28"/>
          <w:szCs w:val="28"/>
        </w:rPr>
      </w:pPr>
      <w:r>
        <w:rPr>
          <w:rFonts w:hint="eastAsia" w:ascii="宋体" w:hAnsi="宋体" w:cs="宋体"/>
          <w:sz w:val="28"/>
          <w:szCs w:val="28"/>
          <w:lang w:val="en-US" w:eastAsia="zh-CN"/>
        </w:rPr>
        <w:t>2.</w:t>
      </w:r>
      <w:r>
        <w:rPr>
          <w:rFonts w:hint="eastAsia" w:ascii="宋体" w:hAnsi="宋体" w:cs="宋体"/>
          <w:sz w:val="28"/>
          <w:szCs w:val="28"/>
        </w:rPr>
        <w:t>项目资金实际支出情况。</w:t>
      </w:r>
    </w:p>
    <w:p>
      <w:pPr>
        <w:numPr>
          <w:ilvl w:val="0"/>
          <w:numId w:val="0"/>
        </w:numPr>
        <w:spacing w:line="500" w:lineRule="exact"/>
        <w:ind w:firstLine="560" w:firstLineChars="200"/>
        <w:rPr>
          <w:rFonts w:hint="eastAsia" w:ascii="宋体" w:hAnsi="宋体" w:cs="宋体"/>
          <w:sz w:val="28"/>
          <w:szCs w:val="28"/>
        </w:rPr>
      </w:pPr>
    </w:p>
    <w:tbl>
      <w:tblPr>
        <w:tblStyle w:val="4"/>
        <w:tblW w:w="8376" w:type="dxa"/>
        <w:jc w:val="center"/>
        <w:shd w:val="clear" w:color="auto" w:fill="auto"/>
        <w:tblLayout w:type="fixed"/>
        <w:tblCellMar>
          <w:top w:w="0" w:type="dxa"/>
          <w:left w:w="0" w:type="dxa"/>
          <w:bottom w:w="0" w:type="dxa"/>
          <w:right w:w="0" w:type="dxa"/>
        </w:tblCellMar>
      </w:tblPr>
      <w:tblGrid>
        <w:gridCol w:w="343"/>
        <w:gridCol w:w="4344"/>
        <w:gridCol w:w="611"/>
        <w:gridCol w:w="666"/>
        <w:gridCol w:w="888"/>
        <w:gridCol w:w="1524"/>
      </w:tblGrid>
      <w:tr>
        <w:tblPrEx>
          <w:tblCellMar>
            <w:top w:w="0" w:type="dxa"/>
            <w:left w:w="0" w:type="dxa"/>
            <w:bottom w:w="0" w:type="dxa"/>
            <w:right w:w="0" w:type="dxa"/>
          </w:tblCellMar>
        </w:tblPrEx>
        <w:trPr>
          <w:trHeight w:val="832"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序号</w:t>
            </w:r>
          </w:p>
        </w:tc>
        <w:tc>
          <w:tcPr>
            <w:tcW w:w="43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考试名称</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考生人数</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考试科数</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合计资金（元）</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普通高中学业水平考试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1347</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152830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185（3+证书）</w:t>
            </w: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普通高考英语听说考试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903</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30980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初中毕业升学体育考试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2545</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65000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初中物理化学生物实验操作考试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4957</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94975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八年级2412人</w:t>
            </w: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普通高考招生考试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1300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190400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普通高中学业水平考试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950</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42250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初中毕业升学考试（含八年级生物地理）</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4957</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280290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八年级2412人</w:t>
            </w: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初中音乐美术信息技术通用技术考试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2412</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43000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高中音乐美术信息考试费</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893</w:t>
            </w: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25300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34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保密室录像机8硬盘1录音笔等</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6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8650 </w:t>
            </w:r>
          </w:p>
        </w:tc>
        <w:tc>
          <w:tcPr>
            <w:tcW w:w="15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580" w:hRule="atLeast"/>
          <w:jc w:val="center"/>
        </w:trPr>
        <w:tc>
          <w:tcPr>
            <w:tcW w:w="3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3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高一学业水平考试</w:t>
            </w:r>
          </w:p>
        </w:tc>
        <w:tc>
          <w:tcPr>
            <w:tcW w:w="6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990</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50076 </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CellMar>
            <w:top w:w="0" w:type="dxa"/>
            <w:left w:w="0" w:type="dxa"/>
            <w:bottom w:w="0" w:type="dxa"/>
            <w:right w:w="0" w:type="dxa"/>
          </w:tblCellMar>
        </w:tblPrEx>
        <w:trPr>
          <w:trHeight w:val="460" w:hRule="atLeast"/>
          <w:jc w:val="center"/>
        </w:trPr>
        <w:tc>
          <w:tcPr>
            <w:tcW w:w="5964"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合计（元）</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983751 </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项目的绩效目标完成情况。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达到预期建设目的。调动了广大监考员、考试工作人员的积极性，提高了工作效率，切实保障考试招生机会公平、程序公开、结果公正，考生满意度提高，实现平安考试目标。</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项目资金使用效益，对环境、经济、社会的可持续影响。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项目资金使用达到预期，在既定期限内完成高考和中考监考费的支付。确保教育统一考试顺利进行，为办人民满意教育提供有力保障。</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三、改进意见</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kinsoku/>
        <w:wordWrap/>
        <w:overflowPunct/>
        <w:topLinePunct w:val="0"/>
        <w:autoSpaceDE/>
        <w:autoSpaceDN/>
        <w:bidi w:val="0"/>
        <w:adjustRightInd/>
        <w:snapToGrid/>
        <w:spacing w:line="560" w:lineRule="exact"/>
        <w:ind w:firstLine="652" w:firstLineChars="204"/>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乳源瑶族自治县招生考试中心</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年3月2</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22CA7"/>
    <w:rsid w:val="000560B1"/>
    <w:rsid w:val="0007067A"/>
    <w:rsid w:val="000C4B61"/>
    <w:rsid w:val="00137C87"/>
    <w:rsid w:val="00152ED7"/>
    <w:rsid w:val="00182223"/>
    <w:rsid w:val="001B0869"/>
    <w:rsid w:val="002C4AD5"/>
    <w:rsid w:val="00306E8C"/>
    <w:rsid w:val="003A76CA"/>
    <w:rsid w:val="003B25CA"/>
    <w:rsid w:val="003E2C1A"/>
    <w:rsid w:val="00437608"/>
    <w:rsid w:val="0044194A"/>
    <w:rsid w:val="004903E7"/>
    <w:rsid w:val="004C7DFE"/>
    <w:rsid w:val="00534213"/>
    <w:rsid w:val="00540253"/>
    <w:rsid w:val="005429BB"/>
    <w:rsid w:val="00544C41"/>
    <w:rsid w:val="00554C79"/>
    <w:rsid w:val="0057649E"/>
    <w:rsid w:val="005B193D"/>
    <w:rsid w:val="005B6C7A"/>
    <w:rsid w:val="00651825"/>
    <w:rsid w:val="00694B68"/>
    <w:rsid w:val="006A42A5"/>
    <w:rsid w:val="006A4E9F"/>
    <w:rsid w:val="006E5084"/>
    <w:rsid w:val="006F6EA7"/>
    <w:rsid w:val="00757303"/>
    <w:rsid w:val="00766CDF"/>
    <w:rsid w:val="00792DE8"/>
    <w:rsid w:val="007C430C"/>
    <w:rsid w:val="007C4C2F"/>
    <w:rsid w:val="00815509"/>
    <w:rsid w:val="00822A58"/>
    <w:rsid w:val="00855735"/>
    <w:rsid w:val="008632D3"/>
    <w:rsid w:val="0087074D"/>
    <w:rsid w:val="008A3AD0"/>
    <w:rsid w:val="0091555C"/>
    <w:rsid w:val="00916C35"/>
    <w:rsid w:val="009210C7"/>
    <w:rsid w:val="009311C3"/>
    <w:rsid w:val="009553ED"/>
    <w:rsid w:val="009C0B68"/>
    <w:rsid w:val="009C14D0"/>
    <w:rsid w:val="00AD06A3"/>
    <w:rsid w:val="00AF0CE3"/>
    <w:rsid w:val="00B1669C"/>
    <w:rsid w:val="00B84E19"/>
    <w:rsid w:val="00B934B8"/>
    <w:rsid w:val="00C022FE"/>
    <w:rsid w:val="00C11478"/>
    <w:rsid w:val="00C2013D"/>
    <w:rsid w:val="00C83051"/>
    <w:rsid w:val="00CE3D02"/>
    <w:rsid w:val="00D012FD"/>
    <w:rsid w:val="00D775DE"/>
    <w:rsid w:val="00DD04EA"/>
    <w:rsid w:val="00E34B6F"/>
    <w:rsid w:val="00E409B6"/>
    <w:rsid w:val="00ED15AD"/>
    <w:rsid w:val="00EE444F"/>
    <w:rsid w:val="00F22CA7"/>
    <w:rsid w:val="00F5076B"/>
    <w:rsid w:val="00F554FD"/>
    <w:rsid w:val="00F95CF7"/>
    <w:rsid w:val="00FB3B18"/>
    <w:rsid w:val="00FE1090"/>
    <w:rsid w:val="015F1083"/>
    <w:rsid w:val="01CB165A"/>
    <w:rsid w:val="103A1729"/>
    <w:rsid w:val="152D0DAA"/>
    <w:rsid w:val="1BEA0FB0"/>
    <w:rsid w:val="2A0C3112"/>
    <w:rsid w:val="41F93AF7"/>
    <w:rsid w:val="468762A1"/>
    <w:rsid w:val="61B418DA"/>
    <w:rsid w:val="66D500F5"/>
    <w:rsid w:val="670978A1"/>
    <w:rsid w:val="67BC13B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rFonts w:ascii="Times New Roman" w:hAnsi="Times New Roman" w:eastAsia="宋体" w:cs="Times New Roman"/>
      <w:sz w:val="18"/>
      <w:szCs w:val="18"/>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085F1-8AD8-415C-9110-5BF9BCD703C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119</Words>
  <Characters>683</Characters>
  <Lines>5</Lines>
  <Paragraphs>1</Paragraphs>
  <TotalTime>1</TotalTime>
  <ScaleCrop>false</ScaleCrop>
  <LinksUpToDate>false</LinksUpToDate>
  <CharactersWithSpaces>801</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2020-03-20T02:56:00Z</dcterms:created>
  <dc:creator>lenovo</dc:creator>
  <cp:lastModifiedBy>恩雄</cp:lastModifiedBy>
  <cp:lastPrinted>2020-03-20T02:32:00Z</cp:lastPrinted>
  <dcterms:modified xsi:type="dcterms:W3CDTF">2022-04-11T01:27:18Z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