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spacing w:line="560" w:lineRule="exact"/>
        <w:jc w:val="center"/>
        <w:rPr>
          <w:rFonts w:ascii="楷体" w:hAnsi="楷体" w:eastAsia="楷体" w:cs="宋体"/>
          <w:b w:val="0"/>
          <w:bCs w:val="0"/>
          <w:sz w:val="44"/>
          <w:szCs w:val="44"/>
        </w:rPr>
      </w:pPr>
      <w:r>
        <w:rPr>
          <w:rFonts w:hint="eastAsia" w:ascii="方正小标宋简体" w:hAnsi="宋体" w:eastAsia="方正小标宋简体" w:cs="宋体"/>
          <w:b w:val="0"/>
          <w:bCs w:val="0"/>
          <w:sz w:val="44"/>
          <w:szCs w:val="44"/>
        </w:rPr>
        <w:t>教育督导专项经费支出项目绩效自评报告</w:t>
      </w:r>
    </w:p>
    <w:p>
      <w:pPr>
        <w:spacing w:line="560" w:lineRule="exact"/>
        <w:ind w:firstLine="640" w:firstLineChars="200"/>
        <w:rPr>
          <w:rFonts w:ascii="黑体" w:hAnsi="黑体" w:eastAsia="黑体" w:cs="宋体"/>
          <w:sz w:val="32"/>
          <w:szCs w:val="32"/>
        </w:rPr>
      </w:pPr>
    </w:p>
    <w:p>
      <w:pPr>
        <w:spacing w:line="560" w:lineRule="exact"/>
        <w:ind w:firstLine="640" w:firstLineChars="200"/>
        <w:rPr>
          <w:rFonts w:ascii="黑体" w:hAnsi="黑体" w:eastAsia="黑体" w:cs="宋体"/>
          <w:sz w:val="32"/>
          <w:szCs w:val="32"/>
        </w:rPr>
      </w:pPr>
      <w:r>
        <w:rPr>
          <w:rFonts w:hint="eastAsia" w:ascii="黑体" w:hAnsi="黑体" w:eastAsia="黑体" w:cs="宋体"/>
          <w:sz w:val="32"/>
          <w:szCs w:val="32"/>
        </w:rPr>
        <w:t>一、项目基本情况及自评结论</w:t>
      </w:r>
    </w:p>
    <w:p>
      <w:pPr>
        <w:spacing w:line="560" w:lineRule="exact"/>
        <w:ind w:firstLine="640" w:firstLineChars="200"/>
        <w:rPr>
          <w:rFonts w:ascii="楷体" w:hAnsi="楷体" w:eastAsia="楷体" w:cs="宋体"/>
          <w:sz w:val="32"/>
          <w:szCs w:val="32"/>
        </w:rPr>
      </w:pPr>
      <w:r>
        <w:rPr>
          <w:rFonts w:hint="eastAsia" w:ascii="楷体" w:hAnsi="楷体" w:eastAsia="楷体" w:cs="宋体"/>
          <w:sz w:val="32"/>
          <w:szCs w:val="32"/>
        </w:rPr>
        <w:t>（一）项目用款单位简要情况</w:t>
      </w:r>
    </w:p>
    <w:p>
      <w:pPr>
        <w:spacing w:line="560" w:lineRule="exact"/>
        <w:ind w:firstLine="640" w:firstLineChars="200"/>
        <w:rPr>
          <w:rFonts w:ascii="楷体" w:hAnsi="楷体" w:eastAsia="楷体" w:cs="宋体"/>
          <w:sz w:val="32"/>
          <w:szCs w:val="32"/>
        </w:rPr>
      </w:pPr>
      <w:r>
        <w:rPr>
          <w:rFonts w:hint="eastAsia" w:ascii="仿宋_GB2312" w:hAnsi="宋体" w:eastAsia="仿宋_GB2312" w:cs="宋体"/>
          <w:sz w:val="32"/>
          <w:szCs w:val="32"/>
        </w:rPr>
        <w:t>乳源教育督导室是县教育局内设机构，其职能是统筹规划、组织实施全县教育督导工作，拟定教育督导评估工作方案和规章制度；负责对全县中小学校、幼儿园贯彻执行教育法律法规和方针政策情况进行督导检查；负责对乡镇人民政府及政府相关职能部门履行教育职责情况进行监督和检查；负责对全县“</w:t>
      </w:r>
      <w:r>
        <w:rPr>
          <w:rFonts w:hint="eastAsia" w:ascii="仿宋_GB2312" w:hAnsi="宋体" w:eastAsia="仿宋_GB2312" w:cs="宋体"/>
          <w:sz w:val="32"/>
          <w:szCs w:val="32"/>
          <w:lang w:eastAsia="zh-CN"/>
        </w:rPr>
        <w:t>强镇复评</w:t>
      </w:r>
      <w:r>
        <w:rPr>
          <w:rFonts w:hint="eastAsia" w:ascii="仿宋_GB2312" w:hAnsi="宋体" w:eastAsia="仿宋_GB2312" w:cs="宋体"/>
          <w:sz w:val="32"/>
          <w:szCs w:val="32"/>
        </w:rPr>
        <w:t>”及推进义务教育</w:t>
      </w:r>
      <w:r>
        <w:rPr>
          <w:rFonts w:hint="eastAsia" w:ascii="仿宋_GB2312" w:hAnsi="宋体" w:eastAsia="仿宋_GB2312" w:cs="宋体"/>
          <w:sz w:val="32"/>
          <w:szCs w:val="32"/>
          <w:lang w:eastAsia="zh-CN"/>
        </w:rPr>
        <w:t>优质</w:t>
      </w:r>
      <w:r>
        <w:rPr>
          <w:rFonts w:hint="eastAsia" w:ascii="仿宋_GB2312" w:hAnsi="宋体" w:eastAsia="仿宋_GB2312" w:cs="宋体"/>
          <w:sz w:val="32"/>
          <w:szCs w:val="32"/>
        </w:rPr>
        <w:t>均衡发展状况进行督导；负责对全县中小学校、幼儿园教育教学工作进行监督、检查、评估和指导，统筹实施义务教育质量监测工作；承办本级政府和上级教育督导部门交办的其他任务。</w:t>
      </w:r>
    </w:p>
    <w:p>
      <w:pPr>
        <w:spacing w:line="560" w:lineRule="exact"/>
        <w:ind w:firstLine="640" w:firstLineChars="200"/>
        <w:rPr>
          <w:rFonts w:ascii="楷体" w:hAnsi="楷体" w:eastAsia="楷体" w:cs="宋体"/>
          <w:sz w:val="32"/>
          <w:szCs w:val="32"/>
        </w:rPr>
      </w:pPr>
      <w:r>
        <w:rPr>
          <w:rFonts w:hint="eastAsia" w:ascii="楷体" w:hAnsi="楷体" w:eastAsia="楷体" w:cs="宋体"/>
          <w:sz w:val="32"/>
          <w:szCs w:val="32"/>
        </w:rPr>
        <w:t>（二）项目实施主要内容及实施程序</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根据中共中央办公厅 国务院办公厅印发《关于深化新时代教育督导体制机制改革的意见》</w:t>
      </w:r>
      <w:r>
        <w:rPr>
          <w:rFonts w:hint="eastAsia" w:ascii="仿宋_GB2312" w:hAnsi="宋体" w:eastAsia="仿宋_GB2312" w:cs="宋体"/>
          <w:sz w:val="32"/>
          <w:szCs w:val="32"/>
          <w:lang w:eastAsia="zh-CN"/>
        </w:rPr>
        <w:t>（厅字〔20</w:t>
      </w:r>
      <w:r>
        <w:rPr>
          <w:rFonts w:hint="eastAsia" w:ascii="仿宋_GB2312" w:hAnsi="宋体" w:eastAsia="仿宋_GB2312" w:cs="宋体"/>
          <w:sz w:val="32"/>
          <w:szCs w:val="32"/>
          <w:lang w:val="en-US" w:eastAsia="zh-CN"/>
        </w:rPr>
        <w:t>20</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1号</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、《教育督导条例》</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中华人民共和国国务院令第624号</w:t>
      </w:r>
      <w:r>
        <w:rPr>
          <w:rFonts w:hint="eastAsia" w:ascii="仿宋_GB2312" w:hAnsi="宋体" w:eastAsia="仿宋_GB2312" w:cs="宋体"/>
          <w:sz w:val="32"/>
          <w:szCs w:val="32"/>
          <w:lang w:eastAsia="zh-CN"/>
        </w:rPr>
        <w:t>）、《广东省教育督导规定》（粤府令第243号）</w:t>
      </w:r>
      <w:r>
        <w:rPr>
          <w:rFonts w:hint="eastAsia" w:ascii="仿宋_GB2312" w:hAnsi="宋体" w:eastAsia="仿宋_GB2312" w:cs="宋体"/>
          <w:sz w:val="32"/>
          <w:szCs w:val="32"/>
        </w:rPr>
        <w:t>要求，开展</w:t>
      </w:r>
      <w:r>
        <w:rPr>
          <w:rFonts w:hint="eastAsia" w:ascii="仿宋_GB2312" w:hAnsi="宋体" w:eastAsia="仿宋_GB2312" w:cs="宋体"/>
          <w:sz w:val="32"/>
          <w:szCs w:val="32"/>
          <w:lang w:eastAsia="zh-CN"/>
        </w:rPr>
        <w:t>教育督导工作，引导学校办出物色、办出水平，促进学生德智体美劳全面发展。通过开展经常性督导、义务教育评估监测等督导评估工作，引导督促学校聚焦教育教学质量，助务学校提升教育教学水平。</w:t>
      </w:r>
    </w:p>
    <w:p>
      <w:pPr>
        <w:spacing w:line="560" w:lineRule="exact"/>
        <w:ind w:firstLine="640" w:firstLineChars="200"/>
        <w:rPr>
          <w:rFonts w:ascii="楷体" w:hAnsi="楷体" w:eastAsia="楷体" w:cs="宋体"/>
          <w:sz w:val="32"/>
          <w:szCs w:val="32"/>
        </w:rPr>
      </w:pPr>
      <w:r>
        <w:rPr>
          <w:rFonts w:hint="eastAsia" w:ascii="楷体" w:hAnsi="楷体" w:eastAsia="楷体" w:cs="宋体"/>
          <w:sz w:val="32"/>
          <w:szCs w:val="32"/>
        </w:rPr>
        <w:t>（三）综述项目自评等级和分数，并对照佐证材料逐一分析</w:t>
      </w:r>
    </w:p>
    <w:p>
      <w:pPr>
        <w:spacing w:line="560" w:lineRule="exact"/>
        <w:ind w:firstLine="640" w:firstLineChars="200"/>
        <w:rPr>
          <w:rFonts w:ascii="仿宋_GB2312" w:eastAsia="仿宋_GB2312" w:cs="宋体"/>
          <w:sz w:val="32"/>
          <w:szCs w:val="32"/>
        </w:rPr>
      </w:pPr>
      <w:r>
        <w:rPr>
          <w:rFonts w:hint="eastAsia" w:ascii="仿宋_GB2312" w:hAnsi="宋体" w:eastAsia="仿宋_GB2312" w:cs="宋体"/>
          <w:sz w:val="32"/>
          <w:szCs w:val="32"/>
        </w:rPr>
        <w:t>项目自评等级为优秀等级，在既定的期限内完成了所有项目实施工作，严格按相关政策文件支付费用，各子项目的实施均在资金文件规定的使用范围，项目管理及资金管理均合乎要求，无违规违纪问题，支付途径客观公平。</w:t>
      </w:r>
    </w:p>
    <w:p>
      <w:pPr>
        <w:spacing w:line="560" w:lineRule="exact"/>
        <w:ind w:firstLine="640" w:firstLineChars="200"/>
        <w:rPr>
          <w:rFonts w:ascii="黑体" w:hAnsi="黑体" w:eastAsia="黑体" w:cs="宋体"/>
          <w:sz w:val="32"/>
          <w:szCs w:val="32"/>
        </w:rPr>
      </w:pPr>
      <w:r>
        <w:rPr>
          <w:rFonts w:hint="eastAsia" w:ascii="黑体" w:hAnsi="黑体" w:eastAsia="黑体" w:cs="宋体"/>
          <w:sz w:val="32"/>
          <w:szCs w:val="32"/>
        </w:rPr>
        <w:t>二、绩效表现</w:t>
      </w:r>
    </w:p>
    <w:p>
      <w:pPr>
        <w:spacing w:line="560" w:lineRule="exact"/>
        <w:ind w:firstLine="640" w:firstLineChars="200"/>
        <w:rPr>
          <w:rFonts w:ascii="楷体" w:hAnsi="楷体" w:eastAsia="楷体" w:cs="宋体"/>
          <w:sz w:val="32"/>
          <w:szCs w:val="32"/>
        </w:rPr>
      </w:pPr>
      <w:r>
        <w:rPr>
          <w:rFonts w:hint="eastAsia" w:ascii="楷体" w:hAnsi="楷体" w:eastAsia="楷体" w:cs="宋体"/>
          <w:sz w:val="32"/>
          <w:szCs w:val="32"/>
        </w:rPr>
        <w:t>（一）资金使用绩效</w:t>
      </w:r>
    </w:p>
    <w:p>
      <w:pPr>
        <w:spacing w:line="560" w:lineRule="exact"/>
        <w:ind w:firstLine="640" w:firstLineChars="200"/>
        <w:rPr>
          <w:rFonts w:ascii="仿宋_GB2312" w:eastAsia="仿宋_GB2312" w:cs="宋体"/>
          <w:sz w:val="32"/>
          <w:szCs w:val="32"/>
        </w:rPr>
      </w:pPr>
      <w:r>
        <w:rPr>
          <w:rFonts w:hint="eastAsia" w:ascii="仿宋_GB2312" w:hAnsi="宋体" w:eastAsia="仿宋_GB2312" w:cs="宋体"/>
          <w:sz w:val="32"/>
          <w:szCs w:val="32"/>
        </w:rPr>
        <w:t>1.项目资金实际总投入情况。</w:t>
      </w:r>
    </w:p>
    <w:p>
      <w:pPr>
        <w:spacing w:line="560" w:lineRule="exact"/>
        <w:ind w:firstLine="640" w:firstLineChars="200"/>
        <w:rPr>
          <w:rFonts w:ascii="仿宋_GB2312" w:eastAsia="仿宋_GB2312" w:cs="宋体"/>
          <w:sz w:val="32"/>
          <w:szCs w:val="32"/>
        </w:rPr>
      </w:pPr>
      <w:r>
        <w:rPr>
          <w:rFonts w:hint="eastAsia" w:ascii="仿宋_GB2312" w:hAnsi="宋体" w:eastAsia="仿宋_GB2312" w:cs="宋体"/>
          <w:sz w:val="32"/>
          <w:szCs w:val="32"/>
        </w:rPr>
        <w:t>我室收到教育督导经费为</w:t>
      </w:r>
      <w:r>
        <w:rPr>
          <w:rFonts w:hint="eastAsia" w:ascii="仿宋_GB2312" w:hAnsi="宋体" w:eastAsia="仿宋_GB2312" w:cs="宋体"/>
          <w:sz w:val="32"/>
          <w:szCs w:val="32"/>
          <w:lang w:val="en-US" w:eastAsia="zh-CN"/>
        </w:rPr>
        <w:t>1.5</w:t>
      </w:r>
      <w:r>
        <w:rPr>
          <w:rFonts w:hint="eastAsia" w:ascii="仿宋_GB2312" w:hAnsi="宋体" w:eastAsia="仿宋_GB2312" w:cs="宋体"/>
          <w:sz w:val="32"/>
          <w:szCs w:val="32"/>
        </w:rPr>
        <w:t>万元。</w:t>
      </w:r>
    </w:p>
    <w:p>
      <w:pPr>
        <w:spacing w:line="560" w:lineRule="exact"/>
        <w:ind w:firstLine="640" w:firstLineChars="200"/>
        <w:rPr>
          <w:rFonts w:hint="eastAsia" w:ascii="仿宋_GB2312" w:eastAsia="仿宋_GB2312" w:cs="宋体"/>
          <w:sz w:val="32"/>
          <w:szCs w:val="32"/>
          <w:lang w:eastAsia="zh-CN"/>
        </w:rPr>
      </w:pPr>
      <w:r>
        <w:rPr>
          <w:rFonts w:hint="eastAsia" w:ascii="仿宋_GB2312" w:hAnsi="宋体" w:eastAsia="仿宋_GB2312" w:cs="宋体"/>
          <w:sz w:val="32"/>
          <w:szCs w:val="32"/>
        </w:rPr>
        <w:t>2.项目资金实际支出情况</w:t>
      </w:r>
      <w:r>
        <w:rPr>
          <w:rFonts w:hint="eastAsia" w:ascii="仿宋_GB2312" w:hAnsi="宋体" w:eastAsia="仿宋_GB2312" w:cs="宋体"/>
          <w:sz w:val="32"/>
          <w:szCs w:val="32"/>
          <w:lang w:val="en-US" w:eastAsia="zh-CN"/>
        </w:rPr>
        <w:t>：</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hAnsi="宋体" w:eastAsia="仿宋_GB2312" w:cs="宋体"/>
          <w:sz w:val="32"/>
          <w:szCs w:val="32"/>
          <w:lang w:eastAsia="zh-CN"/>
        </w:rPr>
        <w:t>付督导检查租车费用</w:t>
      </w:r>
      <w:r>
        <w:rPr>
          <w:rFonts w:hint="eastAsia" w:ascii="仿宋_GB2312" w:hAnsi="宋体" w:eastAsia="仿宋_GB2312" w:cs="宋体"/>
          <w:sz w:val="32"/>
          <w:szCs w:val="32"/>
          <w:lang w:val="en-US" w:eastAsia="zh-CN"/>
        </w:rPr>
        <w:t>0.17</w:t>
      </w:r>
      <w:r>
        <w:rPr>
          <w:rFonts w:hint="eastAsia" w:ascii="仿宋_GB2312" w:hAnsi="宋体" w:eastAsia="仿宋_GB2312" w:cs="宋体"/>
          <w:sz w:val="32"/>
          <w:szCs w:val="32"/>
          <w:lang w:eastAsia="zh-CN"/>
        </w:rPr>
        <w:t>万</w:t>
      </w:r>
      <w:r>
        <w:rPr>
          <w:rFonts w:hint="eastAsia" w:ascii="仿宋_GB2312" w:hAnsi="宋体" w:eastAsia="仿宋_GB2312" w:cs="宋体"/>
          <w:sz w:val="32"/>
          <w:szCs w:val="32"/>
        </w:rPr>
        <w:t>元。</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（2）付</w:t>
      </w:r>
      <w:r>
        <w:rPr>
          <w:rFonts w:hint="eastAsia" w:ascii="仿宋_GB2312" w:hAnsi="宋体" w:eastAsia="仿宋_GB2312" w:cs="宋体"/>
          <w:sz w:val="32"/>
          <w:szCs w:val="32"/>
          <w:lang w:eastAsia="zh-CN"/>
        </w:rPr>
        <w:t>打复印一体机费用</w:t>
      </w:r>
      <w:r>
        <w:rPr>
          <w:rFonts w:hint="eastAsia" w:ascii="仿宋_GB2312" w:hAnsi="宋体" w:eastAsia="仿宋_GB2312" w:cs="宋体"/>
          <w:sz w:val="32"/>
          <w:szCs w:val="32"/>
          <w:lang w:val="en-US" w:eastAsia="zh-CN"/>
        </w:rPr>
        <w:t>1.0045万元</w:t>
      </w:r>
      <w:r>
        <w:rPr>
          <w:rFonts w:hint="eastAsia" w:ascii="仿宋_GB2312" w:hAnsi="宋体" w:eastAsia="仿宋_GB2312" w:cs="宋体"/>
          <w:sz w:val="32"/>
          <w:szCs w:val="32"/>
        </w:rPr>
        <w:t>。</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付</w:t>
      </w:r>
      <w:r>
        <w:rPr>
          <w:rFonts w:hint="eastAsia" w:ascii="仿宋_GB2312" w:hAnsi="宋体" w:eastAsia="仿宋_GB2312" w:cs="宋体"/>
          <w:sz w:val="32"/>
          <w:szCs w:val="32"/>
          <w:lang w:eastAsia="zh-CN"/>
        </w:rPr>
        <w:t>扫描仪费用</w:t>
      </w:r>
      <w:r>
        <w:rPr>
          <w:rFonts w:hint="eastAsia" w:ascii="仿宋_GB2312" w:hAnsi="宋体" w:eastAsia="仿宋_GB2312" w:cs="宋体"/>
          <w:sz w:val="32"/>
          <w:szCs w:val="32"/>
          <w:lang w:val="en-US" w:eastAsia="zh-CN"/>
        </w:rPr>
        <w:t>0.285万</w:t>
      </w:r>
      <w:r>
        <w:rPr>
          <w:rFonts w:hint="eastAsia" w:ascii="仿宋_GB2312" w:hAnsi="宋体" w:eastAsia="仿宋_GB2312" w:cs="宋体"/>
          <w:sz w:val="32"/>
          <w:szCs w:val="32"/>
        </w:rPr>
        <w:t>元。</w:t>
      </w:r>
    </w:p>
    <w:p>
      <w:pPr>
        <w:spacing w:line="56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lang w:eastAsia="zh-CN"/>
        </w:rPr>
        <w:t>）付录音笔费用</w:t>
      </w:r>
      <w:r>
        <w:rPr>
          <w:rFonts w:hint="eastAsia" w:ascii="仿宋_GB2312" w:hAnsi="宋体" w:eastAsia="仿宋_GB2312" w:cs="宋体"/>
          <w:sz w:val="32"/>
          <w:szCs w:val="32"/>
          <w:lang w:val="en-US" w:eastAsia="zh-CN"/>
        </w:rPr>
        <w:t>0.045万元。</w:t>
      </w:r>
    </w:p>
    <w:p>
      <w:pPr>
        <w:spacing w:line="560" w:lineRule="exact"/>
        <w:ind w:firstLine="640" w:firstLineChars="200"/>
        <w:rPr>
          <w:rFonts w:ascii="仿宋_GB2312" w:eastAsia="仿宋_GB2312" w:cs="宋体"/>
          <w:sz w:val="32"/>
          <w:szCs w:val="32"/>
        </w:rPr>
      </w:pPr>
      <w:r>
        <w:rPr>
          <w:rFonts w:hint="eastAsia" w:ascii="仿宋_GB2312" w:hAnsi="宋体" w:eastAsia="仿宋_GB2312" w:cs="宋体"/>
          <w:sz w:val="32"/>
          <w:szCs w:val="32"/>
        </w:rPr>
        <w:t>合计投入</w:t>
      </w:r>
      <w:r>
        <w:rPr>
          <w:rFonts w:hint="eastAsia" w:ascii="仿宋_GB2312" w:hAnsi="宋体" w:eastAsia="仿宋_GB2312" w:cs="宋体"/>
          <w:sz w:val="32"/>
          <w:szCs w:val="32"/>
          <w:lang w:val="en-US" w:eastAsia="zh-CN"/>
        </w:rPr>
        <w:t>1.50万</w:t>
      </w:r>
      <w:r>
        <w:rPr>
          <w:rFonts w:hint="eastAsia" w:ascii="仿宋_GB2312" w:hAnsi="宋体" w:eastAsia="仿宋_GB2312" w:cs="宋体"/>
          <w:sz w:val="32"/>
          <w:szCs w:val="32"/>
        </w:rPr>
        <w:t>元，资金使用率为100%。</w:t>
      </w:r>
    </w:p>
    <w:p>
      <w:pPr>
        <w:spacing w:line="560" w:lineRule="exact"/>
        <w:ind w:firstLine="640" w:firstLineChars="200"/>
        <w:rPr>
          <w:rFonts w:ascii="仿宋_GB2312" w:eastAsia="仿宋_GB2312" w:cs="宋体"/>
          <w:sz w:val="32"/>
          <w:szCs w:val="32"/>
        </w:rPr>
      </w:pPr>
      <w:r>
        <w:rPr>
          <w:rFonts w:hint="eastAsia" w:ascii="仿宋_GB2312" w:hAnsi="宋体" w:eastAsia="仿宋_GB2312" w:cs="宋体"/>
          <w:sz w:val="32"/>
          <w:szCs w:val="32"/>
        </w:rPr>
        <w:t>3.项目的绩效目标完成情况（经济、政治和社会效益）。</w:t>
      </w:r>
    </w:p>
    <w:p>
      <w:pPr>
        <w:spacing w:line="560" w:lineRule="exact"/>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rPr>
        <w:t>20</w:t>
      </w:r>
      <w:r>
        <w:rPr>
          <w:rFonts w:hint="eastAsia" w:ascii="仿宋_GB2312" w:hAnsi="宋体" w:eastAsia="仿宋_GB2312" w:cs="宋体"/>
          <w:sz w:val="32"/>
          <w:szCs w:val="32"/>
          <w:lang w:val="en-US" w:eastAsia="zh-CN"/>
        </w:rPr>
        <w:t>21</w:t>
      </w:r>
      <w:r>
        <w:rPr>
          <w:rFonts w:hint="eastAsia" w:ascii="仿宋_GB2312" w:hAnsi="宋体" w:eastAsia="仿宋_GB2312" w:cs="宋体"/>
          <w:sz w:val="32"/>
          <w:szCs w:val="32"/>
        </w:rPr>
        <w:t>年，我县共有</w:t>
      </w:r>
      <w:r>
        <w:rPr>
          <w:rFonts w:hint="eastAsia" w:ascii="仿宋_GB2312" w:hAnsi="宋体" w:eastAsia="仿宋_GB2312" w:cs="宋体"/>
          <w:sz w:val="32"/>
          <w:szCs w:val="32"/>
          <w:lang w:val="en-US" w:eastAsia="zh-CN"/>
        </w:rPr>
        <w:t>100</w:t>
      </w:r>
      <w:r>
        <w:rPr>
          <w:rFonts w:hint="eastAsia" w:ascii="仿宋_GB2312" w:hAnsi="宋体" w:eastAsia="仿宋_GB2312" w:cs="宋体"/>
          <w:sz w:val="32"/>
          <w:szCs w:val="32"/>
        </w:rPr>
        <w:t>所</w:t>
      </w:r>
      <w:r>
        <w:rPr>
          <w:rFonts w:hint="eastAsia" w:ascii="仿宋_GB2312" w:hAnsi="宋体" w:eastAsia="仿宋_GB2312" w:cs="宋体"/>
          <w:sz w:val="32"/>
          <w:szCs w:val="32"/>
          <w:lang w:eastAsia="zh-CN"/>
        </w:rPr>
        <w:t>义务教育学校、幼儿园，重点开展了学校教育教学、师德师风、资源配置、教育收费、安全稳定等情况的督导工作，指导学校优化内部治理，进一步完善责任区制度，落实常态督导，督促学校规范办学行为。</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4.项目资金使用效益，对环境、经济、社会的可持续影响。</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项目资金使用达到预期，通过</w:t>
      </w:r>
      <w:r>
        <w:rPr>
          <w:rFonts w:hint="eastAsia" w:ascii="仿宋_GB2312" w:hAnsi="宋体" w:eastAsia="仿宋_GB2312" w:cs="宋体"/>
          <w:sz w:val="32"/>
          <w:szCs w:val="32"/>
          <w:lang w:eastAsia="zh-CN"/>
        </w:rPr>
        <w:t>开展政府履职考核评价、国家义务教育质量监测、省教育强镇第二轮复评、幼儿园办园行为督导评估、责任督学经常性督导及开展各类教育热难点问题专项督导等</w:t>
      </w:r>
      <w:r>
        <w:rPr>
          <w:rFonts w:hint="eastAsia" w:ascii="仿宋_GB2312" w:hAnsi="宋体" w:eastAsia="仿宋_GB2312" w:cs="宋体"/>
          <w:sz w:val="32"/>
          <w:szCs w:val="32"/>
        </w:rPr>
        <w:t>工作，进一步落实《关于深化新时代教育督导体制机制改革的意见》，</w:t>
      </w:r>
      <w:r>
        <w:rPr>
          <w:rFonts w:hint="eastAsia" w:ascii="仿宋_GB2312" w:hAnsi="宋体" w:eastAsia="仿宋_GB2312" w:cs="宋体"/>
          <w:sz w:val="32"/>
          <w:szCs w:val="32"/>
          <w:lang w:eastAsia="zh-CN"/>
        </w:rPr>
        <w:t>充分发挥教育督导作用，不断提高教育督导质量和水平，</w:t>
      </w:r>
      <w:r>
        <w:rPr>
          <w:rFonts w:hint="eastAsia" w:ascii="仿宋_GB2312" w:hAnsi="宋体" w:eastAsia="仿宋_GB2312" w:cs="宋体"/>
          <w:sz w:val="32"/>
          <w:szCs w:val="32"/>
        </w:rPr>
        <w:t>推动</w:t>
      </w:r>
      <w:r>
        <w:rPr>
          <w:rFonts w:hint="eastAsia" w:ascii="仿宋_GB2312" w:hAnsi="宋体" w:eastAsia="仿宋_GB2312" w:cs="宋体"/>
          <w:sz w:val="32"/>
          <w:szCs w:val="32"/>
          <w:lang w:eastAsia="zh-CN"/>
        </w:rPr>
        <w:t>有关部门切实履行教育职责，推动</w:t>
      </w:r>
      <w:r>
        <w:rPr>
          <w:rFonts w:hint="eastAsia" w:ascii="仿宋_GB2312" w:hAnsi="宋体" w:eastAsia="仿宋_GB2312" w:cs="宋体"/>
          <w:sz w:val="32"/>
          <w:szCs w:val="32"/>
        </w:rPr>
        <w:t>实施素质教育，提升义务教育质量</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促进学生全面发展。</w:t>
      </w:r>
    </w:p>
    <w:p>
      <w:pPr>
        <w:spacing w:line="560" w:lineRule="exact"/>
        <w:ind w:firstLine="640" w:firstLineChars="200"/>
        <w:rPr>
          <w:rFonts w:ascii="楷体" w:hAnsi="楷体" w:eastAsia="楷体" w:cs="宋体"/>
          <w:sz w:val="32"/>
          <w:szCs w:val="32"/>
        </w:rPr>
      </w:pPr>
      <w:r>
        <w:rPr>
          <w:rFonts w:hint="eastAsia" w:ascii="楷体" w:hAnsi="楷体" w:eastAsia="楷体" w:cs="宋体"/>
          <w:sz w:val="32"/>
          <w:szCs w:val="32"/>
        </w:rPr>
        <w:t>（二）存在问题</w:t>
      </w:r>
    </w:p>
    <w:p>
      <w:pPr>
        <w:spacing w:line="560" w:lineRule="exact"/>
        <w:ind w:firstLine="640" w:firstLineChars="200"/>
        <w:rPr>
          <w:rFonts w:hint="eastAsia" w:ascii="仿宋_GB2312" w:hAnsi="宋体" w:eastAsia="仿宋_GB2312"/>
          <w:color w:val="000000"/>
          <w:sz w:val="32"/>
          <w:szCs w:val="32"/>
        </w:rPr>
      </w:pPr>
      <w:r>
        <w:rPr>
          <w:rFonts w:hint="eastAsia" w:ascii="仿宋_GB2312" w:hAnsi="宋体" w:eastAsia="仿宋_GB2312" w:cs="宋体"/>
          <w:sz w:val="32"/>
          <w:szCs w:val="32"/>
        </w:rPr>
        <w:t>项目资金使用达到预期，</w:t>
      </w:r>
      <w:r>
        <w:rPr>
          <w:rFonts w:hint="eastAsia" w:ascii="仿宋_GB2312" w:hAnsi="宋体" w:eastAsia="仿宋_GB2312"/>
          <w:color w:val="000000"/>
          <w:sz w:val="32"/>
          <w:szCs w:val="32"/>
        </w:rPr>
        <w:t>在既定期限内完成了全部项目，达到既定的目标管理，</w:t>
      </w:r>
      <w:r>
        <w:rPr>
          <w:rFonts w:hint="eastAsia" w:ascii="仿宋_GB2312" w:hAnsi="宋体" w:eastAsia="仿宋_GB2312"/>
          <w:color w:val="000000"/>
          <w:sz w:val="32"/>
          <w:szCs w:val="32"/>
          <w:lang w:eastAsia="zh-CN"/>
        </w:rPr>
        <w:t>但仍</w:t>
      </w:r>
      <w:r>
        <w:rPr>
          <w:rFonts w:ascii="仿宋_GB2312" w:hAnsi="宋体" w:eastAsia="仿宋_GB2312"/>
          <w:color w:val="000000"/>
          <w:sz w:val="32"/>
          <w:szCs w:val="32"/>
        </w:rPr>
        <w:t>需要进一步</w:t>
      </w:r>
      <w:r>
        <w:rPr>
          <w:rFonts w:hint="eastAsia" w:ascii="仿宋_GB2312" w:hAnsi="宋体" w:eastAsia="仿宋_GB2312"/>
          <w:color w:val="000000"/>
          <w:sz w:val="32"/>
          <w:szCs w:val="32"/>
          <w:lang w:eastAsia="zh-CN"/>
        </w:rPr>
        <w:t>强化可持续影响指标的完成效果</w:t>
      </w:r>
      <w:r>
        <w:rPr>
          <w:rFonts w:ascii="仿宋_GB2312" w:hAnsi="宋体" w:eastAsia="仿宋_GB2312"/>
          <w:color w:val="000000"/>
          <w:sz w:val="32"/>
          <w:szCs w:val="32"/>
        </w:rPr>
        <w:t>。</w:t>
      </w:r>
    </w:p>
    <w:p>
      <w:pPr>
        <w:spacing w:line="560" w:lineRule="exact"/>
        <w:ind w:firstLine="640" w:firstLineChars="200"/>
        <w:rPr>
          <w:rFonts w:ascii="黑体" w:hAnsi="黑体" w:eastAsia="黑体" w:cs="宋体"/>
          <w:sz w:val="32"/>
          <w:szCs w:val="32"/>
        </w:rPr>
      </w:pPr>
      <w:r>
        <w:rPr>
          <w:rFonts w:hint="eastAsia" w:ascii="黑体" w:hAnsi="黑体" w:eastAsia="黑体" w:cs="宋体"/>
          <w:sz w:val="32"/>
          <w:szCs w:val="32"/>
        </w:rPr>
        <w:t>三、改进意见</w:t>
      </w:r>
    </w:p>
    <w:p>
      <w:pPr>
        <w:spacing w:line="560" w:lineRule="exact"/>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rPr>
        <w:t>通过实施</w:t>
      </w:r>
      <w:r>
        <w:rPr>
          <w:rFonts w:hint="eastAsia" w:ascii="仿宋_GB2312" w:hAnsi="宋体" w:eastAsia="仿宋_GB2312" w:cs="宋体"/>
          <w:sz w:val="32"/>
          <w:szCs w:val="32"/>
          <w:lang w:eastAsia="zh-CN"/>
        </w:rPr>
        <w:t>本项目</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进一步</w:t>
      </w:r>
      <w:r>
        <w:rPr>
          <w:rFonts w:hint="eastAsia" w:ascii="仿宋_GB2312" w:hAnsi="宋体" w:eastAsia="仿宋_GB2312" w:cs="宋体"/>
          <w:sz w:val="32"/>
          <w:szCs w:val="32"/>
        </w:rPr>
        <w:t>推动素质教育</w:t>
      </w:r>
      <w:r>
        <w:rPr>
          <w:rFonts w:hint="eastAsia" w:ascii="仿宋_GB2312" w:hAnsi="宋体" w:eastAsia="仿宋_GB2312" w:cs="宋体"/>
          <w:sz w:val="32"/>
          <w:szCs w:val="32"/>
          <w:lang w:eastAsia="zh-CN"/>
        </w:rPr>
        <w:t>的</w:t>
      </w:r>
      <w:r>
        <w:rPr>
          <w:rFonts w:hint="eastAsia" w:ascii="仿宋_GB2312" w:hAnsi="宋体" w:eastAsia="仿宋_GB2312" w:cs="宋体"/>
          <w:sz w:val="32"/>
          <w:szCs w:val="32"/>
        </w:rPr>
        <w:t>实施，提升义务教育质量，</w:t>
      </w:r>
      <w:r>
        <w:rPr>
          <w:rFonts w:hint="eastAsia" w:ascii="仿宋_GB2312" w:hAnsi="宋体" w:eastAsia="仿宋_GB2312" w:cs="宋体"/>
          <w:sz w:val="32"/>
          <w:szCs w:val="32"/>
          <w:lang w:eastAsia="zh-CN"/>
        </w:rPr>
        <w:t>有力</w:t>
      </w:r>
      <w:r>
        <w:rPr>
          <w:rFonts w:hint="eastAsia" w:ascii="仿宋_GB2312" w:hAnsi="宋体" w:eastAsia="仿宋_GB2312" w:cs="宋体"/>
          <w:sz w:val="32"/>
          <w:szCs w:val="32"/>
        </w:rPr>
        <w:t>促进学生全面发展</w:t>
      </w:r>
      <w:r>
        <w:rPr>
          <w:rFonts w:hint="eastAsia" w:ascii="仿宋_GB2312" w:hAnsi="宋体" w:eastAsia="仿宋_GB2312" w:cs="宋体"/>
          <w:sz w:val="32"/>
          <w:szCs w:val="32"/>
          <w:lang w:eastAsia="zh-CN"/>
        </w:rPr>
        <w:t>。</w:t>
      </w:r>
    </w:p>
    <w:p>
      <w:pPr>
        <w:widowControl/>
        <w:spacing w:line="560" w:lineRule="exact"/>
        <w:ind w:firstLine="652" w:firstLineChars="204"/>
        <w:jc w:val="right"/>
        <w:rPr>
          <w:rFonts w:ascii="仿宋_GB2312" w:eastAsia="仿宋_GB2312" w:cs="宋体"/>
          <w:sz w:val="32"/>
          <w:szCs w:val="32"/>
        </w:rPr>
      </w:pPr>
    </w:p>
    <w:p>
      <w:pPr>
        <w:widowControl/>
        <w:spacing w:line="560" w:lineRule="exact"/>
        <w:ind w:firstLine="652" w:firstLineChars="204"/>
        <w:jc w:val="right"/>
        <w:rPr>
          <w:rFonts w:ascii="仿宋_GB2312" w:eastAsia="仿宋_GB2312" w:cs="宋体"/>
          <w:sz w:val="32"/>
          <w:szCs w:val="32"/>
        </w:rPr>
      </w:pPr>
    </w:p>
    <w:p>
      <w:pPr>
        <w:widowControl/>
        <w:spacing w:line="560" w:lineRule="exact"/>
        <w:ind w:firstLine="652" w:firstLineChars="204"/>
        <w:jc w:val="right"/>
        <w:rPr>
          <w:rFonts w:ascii="仿宋_GB2312" w:eastAsia="仿宋_GB2312" w:cs="宋体"/>
          <w:sz w:val="32"/>
          <w:szCs w:val="32"/>
        </w:rPr>
      </w:pPr>
    </w:p>
    <w:p>
      <w:pPr>
        <w:widowControl/>
        <w:spacing w:line="560" w:lineRule="exact"/>
        <w:ind w:right="320" w:firstLine="652" w:firstLineChars="204"/>
        <w:jc w:val="right"/>
        <w:rPr>
          <w:rFonts w:ascii="仿宋_GB2312" w:eastAsia="仿宋_GB2312" w:cs="宋体"/>
          <w:sz w:val="32"/>
          <w:szCs w:val="32"/>
        </w:rPr>
      </w:pPr>
      <w:r>
        <w:rPr>
          <w:rFonts w:hint="eastAsia" w:ascii="仿宋_GB2312" w:hAnsi="宋体" w:eastAsia="仿宋_GB2312" w:cs="宋体"/>
          <w:sz w:val="32"/>
          <w:szCs w:val="32"/>
        </w:rPr>
        <w:t>乳源瑶族自治县人民政府教育督导室</w:t>
      </w:r>
    </w:p>
    <w:p>
      <w:pPr>
        <w:spacing w:line="560" w:lineRule="exact"/>
        <w:rPr>
          <w:rFonts w:ascii="仿宋_GB2312" w:eastAsia="仿宋_GB2312" w:cs="宋体"/>
          <w:sz w:val="32"/>
          <w:szCs w:val="32"/>
        </w:rPr>
      </w:pPr>
      <w:r>
        <w:rPr>
          <w:rFonts w:hint="eastAsia" w:ascii="仿宋_GB2312" w:hAnsi="宋体" w:eastAsia="仿宋_GB2312" w:cs="宋体"/>
          <w:sz w:val="32"/>
          <w:szCs w:val="32"/>
        </w:rPr>
        <w:t xml:space="preserve">                              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年03月2</w:t>
      </w: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日</w:t>
      </w:r>
    </w:p>
    <w:p>
      <w:pPr>
        <w:rPr>
          <w:rFonts w:hint="eastAsia"/>
        </w:rPr>
      </w:pP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833122B"/>
    <w:rsid w:val="2A0C3112"/>
    <w:rsid w:val="2A54278C"/>
    <w:rsid w:val="37B026F6"/>
    <w:rsid w:val="39921607"/>
    <w:rsid w:val="468762A1"/>
    <w:rsid w:val="5375086E"/>
    <w:rsid w:val="71D54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2022-03-31T01:58:21Z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