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52"/>
          <w:szCs w:val="48"/>
          <w:lang w:eastAsia="zh-CN"/>
        </w:rPr>
      </w:pPr>
      <w:r>
        <w:rPr>
          <w:rFonts w:hint="eastAsia"/>
          <w:b/>
          <w:bCs/>
          <w:sz w:val="52"/>
          <w:szCs w:val="48"/>
          <w:lang w:eastAsia="zh-CN"/>
        </w:rPr>
        <w:t>县级财政支出项目绩效自评报告</w:t>
      </w:r>
    </w:p>
    <w:p>
      <w:pPr>
        <w:jc w:val="center"/>
        <w:rPr>
          <w:rFonts w:hint="eastAsia"/>
          <w:b/>
          <w:bCs/>
          <w:sz w:val="52"/>
          <w:szCs w:val="48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6"/>
          <w:szCs w:val="36"/>
          <w:u w:val="single"/>
          <w:lang w:eastAsia="zh-CN"/>
        </w:rPr>
      </w:pPr>
      <w:r>
        <w:rPr>
          <w:rFonts w:hint="eastAsia"/>
          <w:sz w:val="36"/>
          <w:szCs w:val="32"/>
          <w:lang w:eastAsia="zh-CN"/>
        </w:rPr>
        <w:t>项目名称</w:t>
      </w:r>
      <w:r>
        <w:rPr>
          <w:rFonts w:hint="eastAsia"/>
          <w:sz w:val="36"/>
          <w:szCs w:val="32"/>
          <w:lang w:val="en-US" w:eastAsia="zh-CN"/>
        </w:rPr>
        <w:t>:</w:t>
      </w:r>
      <w:r>
        <w:rPr>
          <w:rFonts w:hint="eastAsia"/>
          <w:sz w:val="36"/>
          <w:szCs w:val="32"/>
          <w:lang w:eastAsia="zh-CN"/>
        </w:rPr>
        <w:t>智能人体测温设备安装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36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6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6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6"/>
          <w:szCs w:val="32"/>
          <w:lang w:val="en-US" w:eastAsia="zh-CN"/>
        </w:rPr>
      </w:pPr>
      <w:r>
        <w:rPr>
          <w:rFonts w:hint="eastAsia"/>
          <w:sz w:val="36"/>
          <w:szCs w:val="32"/>
          <w:lang w:val="en-US" w:eastAsia="zh-CN"/>
        </w:rPr>
        <w:t>省级项目主管部门：（公章）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6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6"/>
          <w:szCs w:val="32"/>
          <w:lang w:val="en-US" w:eastAsia="zh-CN"/>
        </w:rPr>
      </w:pPr>
      <w:r>
        <w:rPr>
          <w:rFonts w:hint="eastAsia"/>
          <w:sz w:val="36"/>
          <w:szCs w:val="32"/>
          <w:lang w:val="en-US" w:eastAsia="zh-CN"/>
        </w:rPr>
        <w:t>填报人姓名：马慧娣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/>
          <w:sz w:val="36"/>
          <w:szCs w:val="32"/>
          <w:lang w:val="en-US" w:eastAsia="zh-CN"/>
        </w:rPr>
      </w:pPr>
      <w:r>
        <w:rPr>
          <w:rFonts w:hint="eastAsia"/>
          <w:sz w:val="36"/>
          <w:szCs w:val="32"/>
          <w:lang w:val="en-US" w:eastAsia="zh-CN"/>
        </w:rPr>
        <w:t>联系电话：8556181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6"/>
          <w:szCs w:val="32"/>
          <w:lang w:val="en-US" w:eastAsia="zh-CN"/>
        </w:rPr>
      </w:pPr>
      <w:r>
        <w:rPr>
          <w:rFonts w:hint="eastAsia"/>
          <w:sz w:val="36"/>
          <w:szCs w:val="32"/>
          <w:lang w:val="en-US" w:eastAsia="zh-CN"/>
        </w:rPr>
        <w:t>填报日期：2022年4月24日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6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6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6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6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6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6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6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36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36"/>
          <w:szCs w:val="32"/>
          <w:lang w:val="en-US" w:eastAsia="zh-CN"/>
        </w:rPr>
      </w:pPr>
      <w:r>
        <w:rPr>
          <w:rFonts w:hint="eastAsia"/>
          <w:b/>
          <w:bCs/>
          <w:sz w:val="36"/>
          <w:szCs w:val="32"/>
          <w:lang w:val="en-US" w:eastAsia="zh-CN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36"/>
          <w:szCs w:val="32"/>
          <w:lang w:val="en-US" w:eastAsia="zh-CN"/>
        </w:rPr>
      </w:pPr>
    </w:p>
    <w:p>
      <w:pPr>
        <w:ind w:firstLine="63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县财政部门的要求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需对县级财政支出做相应的绩效工作评价，对此</w:t>
      </w:r>
      <w:r>
        <w:rPr>
          <w:rFonts w:hint="eastAsia" w:ascii="仿宋" w:hAnsi="仿宋" w:eastAsia="仿宋" w:cs="仿宋"/>
          <w:sz w:val="32"/>
          <w:szCs w:val="32"/>
        </w:rPr>
        <w:t>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局</w:t>
      </w:r>
      <w:r>
        <w:rPr>
          <w:rFonts w:hint="eastAsia" w:ascii="仿宋" w:hAnsi="仿宋" w:eastAsia="仿宋" w:cs="仿宋"/>
          <w:sz w:val="32"/>
          <w:szCs w:val="32"/>
        </w:rPr>
        <w:t>高度重视，召集相关人员进行了工作布置，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成立绩效评价领导小</w:t>
      </w:r>
      <w:r>
        <w:rPr>
          <w:rFonts w:hint="eastAsia" w:ascii="仿宋" w:hAnsi="仿宋" w:eastAsia="仿宋" w:cs="仿宋"/>
          <w:sz w:val="32"/>
          <w:szCs w:val="32"/>
        </w:rPr>
        <w:t>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，组</w:t>
      </w:r>
      <w:r>
        <w:rPr>
          <w:rFonts w:hint="eastAsia" w:ascii="仿宋" w:hAnsi="仿宋" w:eastAsia="仿宋" w:cs="仿宋"/>
          <w:sz w:val="32"/>
          <w:szCs w:val="32"/>
        </w:rPr>
        <w:t>织自查。目前已完成自查自评工作，现将相关项目自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评</w:t>
      </w:r>
      <w:r>
        <w:rPr>
          <w:rFonts w:hint="eastAsia" w:ascii="仿宋" w:hAnsi="仿宋" w:eastAsia="仿宋" w:cs="仿宋"/>
          <w:sz w:val="32"/>
          <w:szCs w:val="32"/>
        </w:rPr>
        <w:t>情况报告如下：</w:t>
      </w:r>
    </w:p>
    <w:p>
      <w:pPr>
        <w:numPr>
          <w:ilvl w:val="0"/>
          <w:numId w:val="1"/>
        </w:numPr>
        <w:ind w:firstLine="63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项目基本情况及自评结论：</w:t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（一）、项目用款单位简要情况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乳源瑶族自治县交通运输局是乳源瑶族自治县人民政府的组成部份，由为公室、综合运输股、战办备、安全监督股、基建管理股、法规室及五个执法大队组成，管理的下属事业单位包括交通运输管理中心、地方亊务管理中心。其主要职责为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贯彻执行国家有关交通工作方针、政策、法规。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研究编制全县交通发展长期规划和年度计划。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负责交通运输市场和交通基本建设市场的监管。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管理与调控公路、水运行业的平管竞争秩序。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负责公路基本设施建设，养护行业管理和交通项目的立项、审查和上报和组织实施。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负责公路、水运客货运输业、营业性客货运输站（场）、机动车维修业、搬运装御业、公路运输服务业、汽车租赁、道路运输车辆综合性能检测、机动车驾驶学校和驾驶员培训的行业监管及交通战备的相关工作。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（二）、项目实施主要内容及实施程序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智能人体测温设备安装.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（三）自评等级及分数的说明</w:t>
      </w:r>
    </w:p>
    <w:p>
      <w:pPr>
        <w:ind w:firstLine="63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疫情防控经费自</w:t>
      </w:r>
      <w:r>
        <w:rPr>
          <w:rFonts w:hint="eastAsia" w:ascii="仿宋" w:hAnsi="仿宋" w:eastAsia="仿宋" w:cs="仿宋"/>
          <w:sz w:val="32"/>
          <w:szCs w:val="32"/>
        </w:rPr>
        <w:t>评价结果为优，这个项目决算科学，依据充分，项目管理较为规范，项目完成效果好，实施后达到预期目的，满足当地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群众生产、生活及经济</w:t>
      </w:r>
      <w:r>
        <w:rPr>
          <w:rFonts w:hint="eastAsia" w:ascii="仿宋" w:hAnsi="仿宋" w:eastAsia="仿宋" w:cs="仿宋"/>
          <w:sz w:val="32"/>
          <w:szCs w:val="32"/>
        </w:rPr>
        <w:t>的发展，具体表现在：</w:t>
      </w:r>
    </w:p>
    <w:p>
      <w:pPr>
        <w:pStyle w:val="9"/>
        <w:spacing w:line="360" w:lineRule="auto"/>
        <w:ind w:firstLine="720" w:firstLineChars="225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项目绩效完成情况评价满分100分，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自评</w:t>
      </w:r>
      <w:r>
        <w:rPr>
          <w:rFonts w:hint="eastAsia" w:ascii="仿宋" w:hAnsi="仿宋" w:eastAsia="仿宋" w:cs="仿宋"/>
          <w:sz w:val="32"/>
          <w:szCs w:val="32"/>
        </w:rPr>
        <w:t>总计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分。</w:t>
      </w:r>
    </w:p>
    <w:p>
      <w:pPr>
        <w:pStyle w:val="9"/>
        <w:spacing w:line="360" w:lineRule="auto"/>
        <w:ind w:firstLine="720" w:firstLineChars="225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1、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投入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（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0%）</w:t>
      </w:r>
    </w:p>
    <w:p>
      <w:pPr>
        <w:pStyle w:val="9"/>
        <w:spacing w:line="360" w:lineRule="auto"/>
        <w:ind w:firstLine="720" w:firstLineChars="225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（1）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项目立项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（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%）</w:t>
      </w:r>
    </w:p>
    <w:p>
      <w:pPr>
        <w:pStyle w:val="9"/>
        <w:spacing w:line="360" w:lineRule="auto"/>
        <w:ind w:firstLine="720" w:firstLineChars="225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①论证决策（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%）</w:t>
      </w:r>
    </w:p>
    <w:p>
      <w:pPr>
        <w:pStyle w:val="9"/>
        <w:spacing w:line="360" w:lineRule="auto"/>
        <w:ind w:firstLine="720" w:firstLineChars="225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a、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论证的充分性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预算金额为2.1万元。</w:t>
      </w:r>
      <w:r>
        <w:rPr>
          <w:rFonts w:hint="eastAsia" w:ascii="仿宋" w:hAnsi="仿宋" w:eastAsia="仿宋" w:cs="仿宋"/>
          <w:sz w:val="32"/>
          <w:szCs w:val="32"/>
        </w:rPr>
        <w:t>资金设立规范，结构合理，对于推进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当地农村经济</w:t>
      </w:r>
      <w:r>
        <w:rPr>
          <w:rFonts w:hint="eastAsia" w:ascii="仿宋" w:hAnsi="仿宋" w:eastAsia="仿宋" w:cs="仿宋"/>
          <w:sz w:val="32"/>
          <w:szCs w:val="32"/>
        </w:rPr>
        <w:t>发展具有极大的推动作用。</w:t>
      </w:r>
    </w:p>
    <w:p>
      <w:pPr>
        <w:pStyle w:val="9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default" w:ascii="Calibri" w:hAnsi="Calibri" w:eastAsia="仿宋" w:cs="Calibri"/>
          <w:sz w:val="32"/>
          <w:szCs w:val="32"/>
        </w:rPr>
        <w:t>②</w:t>
      </w:r>
      <w:r>
        <w:rPr>
          <w:rFonts w:hint="eastAsia" w:ascii="Calibri" w:hAnsi="Calibri" w:eastAsia="仿宋" w:cs="Calibri"/>
          <w:sz w:val="32"/>
          <w:szCs w:val="32"/>
          <w:lang w:eastAsia="zh-CN"/>
        </w:rPr>
        <w:t>目称设置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pStyle w:val="9"/>
        <w:spacing w:line="360" w:lineRule="auto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a、完整性(2分)</w:t>
      </w:r>
    </w:p>
    <w:p>
      <w:pPr>
        <w:pStyle w:val="9"/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项目质量监督</w:t>
      </w:r>
      <w:r>
        <w:rPr>
          <w:rFonts w:hint="eastAsia" w:ascii="仿宋" w:hAnsi="仿宋" w:eastAsia="仿宋" w:cs="仿宋"/>
          <w:sz w:val="32"/>
          <w:szCs w:val="32"/>
        </w:rPr>
        <w:t>的目标设置科学、合理、完整、明确。</w:t>
      </w:r>
    </w:p>
    <w:p>
      <w:pPr>
        <w:pStyle w:val="9"/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项目所在地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分布在乳源县对当地的经济发展</w:t>
      </w:r>
      <w:r>
        <w:rPr>
          <w:rFonts w:hint="eastAsia" w:ascii="仿宋" w:hAnsi="仿宋" w:eastAsia="仿宋" w:cs="仿宋"/>
          <w:sz w:val="32"/>
          <w:szCs w:val="32"/>
        </w:rPr>
        <w:t>具有良好的引导性。</w:t>
      </w:r>
    </w:p>
    <w:p>
      <w:pPr>
        <w:pStyle w:val="9"/>
        <w:numPr>
          <w:ilvl w:val="0"/>
          <w:numId w:val="0"/>
        </w:num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b、合理性(2分)</w:t>
      </w:r>
    </w:p>
    <w:p>
      <w:pPr>
        <w:pStyle w:val="9"/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根据年度工作要求，制定工作计划，按工作计划的要求进行，并且完成任务，达到预期的效果。</w:t>
      </w:r>
    </w:p>
    <w:p>
      <w:pPr>
        <w:pStyle w:val="9"/>
        <w:spacing w:line="360" w:lineRule="auto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c、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可衡量性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>
      <w:pPr>
        <w:pStyle w:val="9"/>
        <w:spacing w:line="360" w:lineRule="auto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根据年度建设项目计划，制定本年度的监督检查及对完工项目及时进行交工检测，完善基建程序。</w:t>
      </w:r>
    </w:p>
    <w:p>
      <w:pPr>
        <w:pStyle w:val="9"/>
        <w:spacing w:line="360" w:lineRule="auto"/>
        <w:ind w:firstLine="720" w:firstLineChars="225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③保障措施（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2分</w:t>
      </w:r>
      <w:r>
        <w:rPr>
          <w:rFonts w:hint="eastAsia" w:ascii="仿宋" w:hAnsi="仿宋" w:eastAsia="仿宋" w:cs="仿宋"/>
          <w:sz w:val="32"/>
          <w:szCs w:val="32"/>
        </w:rPr>
        <w:t>）</w:t>
      </w:r>
    </w:p>
    <w:p>
      <w:pPr>
        <w:pStyle w:val="9"/>
        <w:spacing w:line="360" w:lineRule="auto"/>
        <w:ind w:firstLine="720" w:firstLineChars="225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a、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制度完整性</w:t>
      </w:r>
      <w:r>
        <w:rPr>
          <w:rFonts w:hint="eastAsia" w:ascii="仿宋" w:hAnsi="仿宋" w:eastAsia="仿宋" w:cs="仿宋"/>
          <w:sz w:val="32"/>
          <w:szCs w:val="32"/>
        </w:rPr>
        <w:t>（1分）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0" w:afterAutospacing="0" w:line="300" w:lineRule="atLeast"/>
        <w:ind w:left="0" w:right="0" w:firstLine="640" w:firstLineChars="200"/>
        <w:jc w:val="left"/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制定了乳源县交通运输局财务管理制度</w:t>
      </w:r>
      <w:r>
        <w:rPr>
          <w:rFonts w:hint="eastAsia" w:ascii="宋体" w:hAnsi="宋体" w:eastAsia="宋体" w:cs="宋体"/>
          <w:b w:val="0"/>
          <w:bCs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»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，规范资金的使用。</w:t>
      </w:r>
    </w:p>
    <w:p>
      <w:pPr>
        <w:pStyle w:val="9"/>
        <w:spacing w:line="360" w:lineRule="auto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b、计划安排合理性(1分)</w:t>
      </w:r>
    </w:p>
    <w:p>
      <w:pPr>
        <w:pStyle w:val="9"/>
        <w:spacing w:line="360" w:lineRule="auto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根据年度建设项目计划，制定本年度的监督检查及对完工项目及时进行交工检测，完善基建程序。</w:t>
      </w:r>
    </w:p>
    <w:p>
      <w:pPr>
        <w:pStyle w:val="9"/>
        <w:spacing w:line="360" w:lineRule="auto"/>
        <w:ind w:firstLine="720" w:firstLineChars="225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sz w:val="32"/>
          <w:szCs w:val="32"/>
        </w:rPr>
        <w:t>③</w:t>
      </w:r>
      <w:r>
        <w:rPr>
          <w:rFonts w:hint="eastAsia" w:ascii="Calibri" w:hAnsi="Calibri" w:eastAsia="仿宋" w:cs="Calibri"/>
          <w:sz w:val="32"/>
          <w:szCs w:val="32"/>
          <w:lang w:eastAsia="zh-CN"/>
        </w:rPr>
        <w:t>资金到位</w:t>
      </w: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(5分)</w:t>
      </w:r>
    </w:p>
    <w:p>
      <w:pPr>
        <w:pStyle w:val="9"/>
        <w:numPr>
          <w:ilvl w:val="0"/>
          <w:numId w:val="3"/>
        </w:numPr>
        <w:spacing w:line="360" w:lineRule="auto"/>
        <w:ind w:firstLine="720" w:firstLineChars="225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eastAsia="zh-CN"/>
        </w:rPr>
        <w:t>资金到位率</w:t>
      </w: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(3分)</w:t>
      </w:r>
    </w:p>
    <w:p>
      <w:pPr>
        <w:pStyle w:val="9"/>
        <w:numPr>
          <w:ilvl w:val="0"/>
          <w:numId w:val="0"/>
        </w:numPr>
        <w:spacing w:line="360" w:lineRule="auto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 xml:space="preserve">   预算资金100%到位。</w:t>
      </w:r>
    </w:p>
    <w:p>
      <w:pPr>
        <w:pStyle w:val="9"/>
        <w:numPr>
          <w:ilvl w:val="0"/>
          <w:numId w:val="3"/>
        </w:numPr>
        <w:spacing w:line="360" w:lineRule="auto"/>
        <w:ind w:left="0" w:leftChars="0" w:firstLine="720" w:firstLineChars="225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资金到位及时性(2分)</w:t>
      </w:r>
    </w:p>
    <w:p>
      <w:pPr>
        <w:pStyle w:val="9"/>
        <w:numPr>
          <w:ilvl w:val="0"/>
          <w:numId w:val="0"/>
        </w:numPr>
        <w:spacing w:line="360" w:lineRule="auto"/>
        <w:ind w:leftChars="225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 xml:space="preserve">  预算资金于2020年5月29日批复，到位及时。</w:t>
      </w:r>
    </w:p>
    <w:p>
      <w:pPr>
        <w:pStyle w:val="9"/>
        <w:numPr>
          <w:ilvl w:val="0"/>
          <w:numId w:val="3"/>
        </w:numPr>
        <w:spacing w:line="360" w:lineRule="auto"/>
        <w:ind w:left="0" w:leftChars="0" w:firstLine="720" w:firstLineChars="225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资金分配合理性(3分)</w:t>
      </w:r>
    </w:p>
    <w:p>
      <w:pPr>
        <w:pStyle w:val="9"/>
        <w:numPr>
          <w:ilvl w:val="0"/>
          <w:numId w:val="0"/>
        </w:numPr>
        <w:spacing w:line="360" w:lineRule="auto"/>
        <w:ind w:leftChars="225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 xml:space="preserve"> 根据年度工作安排，合理分配使用资金。</w:t>
      </w:r>
    </w:p>
    <w:p>
      <w:pPr>
        <w:pStyle w:val="9"/>
        <w:spacing w:line="360" w:lineRule="auto"/>
        <w:ind w:firstLine="720" w:firstLineChars="225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2、过程(30%)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>（合计分）</w:t>
      </w:r>
    </w:p>
    <w:p>
      <w:pPr>
        <w:pStyle w:val="9"/>
        <w:numPr>
          <w:ilvl w:val="0"/>
          <w:numId w:val="0"/>
        </w:numPr>
        <w:spacing w:line="360" w:lineRule="auto"/>
        <w:ind w:leftChars="225" w:firstLine="320" w:firstLineChars="100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(1)资金管理(12分)</w:t>
      </w:r>
    </w:p>
    <w:p>
      <w:pPr>
        <w:pStyle w:val="9"/>
        <w:numPr>
          <w:ilvl w:val="0"/>
          <w:numId w:val="0"/>
        </w:numPr>
        <w:spacing w:line="360" w:lineRule="auto"/>
        <w:ind w:firstLine="640" w:firstLineChars="200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sz w:val="32"/>
          <w:szCs w:val="32"/>
          <w:lang w:val="en-US" w:eastAsia="zh-CN"/>
        </w:rPr>
        <w:t>①</w:t>
      </w: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资金支付(6分)</w:t>
      </w:r>
    </w:p>
    <w:p>
      <w:pPr>
        <w:pStyle w:val="9"/>
        <w:numPr>
          <w:ilvl w:val="0"/>
          <w:numId w:val="4"/>
        </w:numPr>
        <w:spacing w:line="360" w:lineRule="auto"/>
        <w:ind w:firstLine="640" w:firstLineChars="200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资金支出率(5分)</w:t>
      </w:r>
    </w:p>
    <w:p>
      <w:pPr>
        <w:pStyle w:val="9"/>
        <w:numPr>
          <w:ilvl w:val="0"/>
          <w:numId w:val="0"/>
        </w:numPr>
        <w:spacing w:line="360" w:lineRule="auto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 xml:space="preserve">     预算资金95%按时、按计划支出。</w:t>
      </w:r>
    </w:p>
    <w:p>
      <w:pPr>
        <w:pStyle w:val="9"/>
        <w:numPr>
          <w:ilvl w:val="0"/>
          <w:numId w:val="4"/>
        </w:numPr>
        <w:spacing w:line="360" w:lineRule="auto"/>
        <w:ind w:left="0" w:leftChars="0" w:firstLine="640" w:firstLineChars="200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资金管理(12分)</w:t>
      </w:r>
    </w:p>
    <w:p>
      <w:pPr>
        <w:pStyle w:val="9"/>
        <w:numPr>
          <w:ilvl w:val="0"/>
          <w:numId w:val="0"/>
        </w:numPr>
        <w:spacing w:line="360" w:lineRule="auto"/>
        <w:ind w:leftChars="200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sz w:val="32"/>
          <w:szCs w:val="32"/>
          <w:lang w:val="en-US" w:eastAsia="zh-CN"/>
        </w:rPr>
        <w:t>①</w:t>
      </w: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支出规范性(6分)</w:t>
      </w:r>
    </w:p>
    <w:p>
      <w:pPr>
        <w:pStyle w:val="9"/>
        <w:numPr>
          <w:ilvl w:val="0"/>
          <w:numId w:val="5"/>
        </w:numPr>
        <w:spacing w:line="360" w:lineRule="auto"/>
        <w:ind w:leftChars="200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支出规范性(6分)</w:t>
      </w:r>
    </w:p>
    <w:p>
      <w:pPr>
        <w:pStyle w:val="9"/>
        <w:numPr>
          <w:ilvl w:val="0"/>
          <w:numId w:val="0"/>
        </w:numPr>
        <w:spacing w:line="360" w:lineRule="auto"/>
        <w:ind w:firstLine="640" w:firstLineChars="200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预算执行规范，未发生调整，且按事项完成进度支付资金。项目支出符合规范;资金管理、费用标准、支付符合相关制度规定。会计核算规范，设置专帐核算，支出凭证规范。</w:t>
      </w:r>
    </w:p>
    <w:p>
      <w:pPr>
        <w:pStyle w:val="9"/>
        <w:numPr>
          <w:ilvl w:val="0"/>
          <w:numId w:val="6"/>
        </w:numPr>
        <w:spacing w:line="360" w:lineRule="auto"/>
        <w:ind w:firstLine="640" w:firstLineChars="200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事项管理(8分)</w:t>
      </w:r>
    </w:p>
    <w:p>
      <w:pPr>
        <w:pStyle w:val="9"/>
        <w:numPr>
          <w:ilvl w:val="0"/>
          <w:numId w:val="0"/>
        </w:numPr>
        <w:spacing w:line="360" w:lineRule="auto"/>
        <w:ind w:firstLine="640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sz w:val="32"/>
          <w:szCs w:val="32"/>
          <w:lang w:val="en-US" w:eastAsia="zh-CN"/>
        </w:rPr>
        <w:t>①</w:t>
      </w: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实施程序(4分)</w:t>
      </w:r>
    </w:p>
    <w:p>
      <w:pPr>
        <w:pStyle w:val="9"/>
        <w:numPr>
          <w:ilvl w:val="0"/>
          <w:numId w:val="7"/>
        </w:numPr>
        <w:spacing w:line="360" w:lineRule="auto"/>
        <w:ind w:firstLine="640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程序规范性(4分)</w:t>
      </w:r>
    </w:p>
    <w:p>
      <w:pPr>
        <w:pStyle w:val="9"/>
        <w:numPr>
          <w:ilvl w:val="0"/>
          <w:numId w:val="0"/>
        </w:numPr>
        <w:spacing w:line="360" w:lineRule="auto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 xml:space="preserve">   监督及项目验收方案的实施按规定程序进行，未调整方案，严格执行相关的制度。</w:t>
      </w:r>
    </w:p>
    <w:p>
      <w:pPr>
        <w:pStyle w:val="9"/>
        <w:numPr>
          <w:ilvl w:val="0"/>
          <w:numId w:val="0"/>
        </w:numPr>
        <w:spacing w:line="360" w:lineRule="auto"/>
        <w:ind w:firstLine="640" w:firstLineChars="200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sz w:val="32"/>
          <w:szCs w:val="32"/>
          <w:lang w:val="en-US" w:eastAsia="zh-CN"/>
        </w:rPr>
        <w:t>②</w:t>
      </w: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管理情况(4分)</w:t>
      </w:r>
    </w:p>
    <w:p>
      <w:pPr>
        <w:pStyle w:val="9"/>
        <w:numPr>
          <w:ilvl w:val="0"/>
          <w:numId w:val="8"/>
        </w:numPr>
        <w:spacing w:line="360" w:lineRule="auto"/>
        <w:ind w:firstLine="640" w:firstLineChars="200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监管有效性(4分)</w:t>
      </w:r>
    </w:p>
    <w:p>
      <w:pPr>
        <w:pStyle w:val="9"/>
        <w:numPr>
          <w:ilvl w:val="0"/>
          <w:numId w:val="0"/>
        </w:numPr>
        <w:spacing w:line="360" w:lineRule="auto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 xml:space="preserve">   资金使用有相关财务制度，执行情况良好，各级业务部的按规定要求对资金的使用进行有效的检查、监控。</w:t>
      </w:r>
    </w:p>
    <w:p>
      <w:pPr>
        <w:pStyle w:val="9"/>
        <w:numPr>
          <w:ilvl w:val="0"/>
          <w:numId w:val="0"/>
        </w:numPr>
        <w:spacing w:line="360" w:lineRule="auto"/>
        <w:ind w:firstLine="320" w:firstLineChars="100"/>
        <w:rPr>
          <w:rFonts w:hint="default" w:ascii="Calibri" w:hAnsi="Calibri" w:eastAsia="仿宋" w:cs="Calibri"/>
          <w:sz w:val="32"/>
          <w:szCs w:val="32"/>
          <w:lang w:val="en-US" w:eastAsia="zh-CN"/>
        </w:rPr>
      </w:pPr>
      <w:r>
        <w:rPr>
          <w:rFonts w:hint="default" w:ascii="Calibri" w:hAnsi="Calibri" w:eastAsia="仿宋" w:cs="Calibri"/>
          <w:sz w:val="32"/>
          <w:szCs w:val="32"/>
          <w:lang w:val="en-US" w:eastAsia="zh-CN"/>
        </w:rPr>
        <w:t>③</w:t>
      </w: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经济性(5分)</w:t>
      </w:r>
    </w:p>
    <w:p>
      <w:pPr>
        <w:pStyle w:val="9"/>
        <w:numPr>
          <w:ilvl w:val="0"/>
          <w:numId w:val="9"/>
        </w:numPr>
        <w:spacing w:line="360" w:lineRule="auto"/>
        <w:ind w:firstLine="320" w:firstLineChars="100"/>
        <w:rPr>
          <w:rFonts w:hint="default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预算控制(3分)</w:t>
      </w:r>
    </w:p>
    <w:p>
      <w:pPr>
        <w:pStyle w:val="9"/>
        <w:numPr>
          <w:ilvl w:val="0"/>
          <w:numId w:val="0"/>
        </w:numPr>
        <w:spacing w:line="360" w:lineRule="auto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 xml:space="preserve">  预算执行进度与事项的完成进度相匹配，实际支出未超过预算计划。</w:t>
      </w:r>
    </w:p>
    <w:p>
      <w:pPr>
        <w:pStyle w:val="9"/>
        <w:numPr>
          <w:ilvl w:val="0"/>
          <w:numId w:val="9"/>
        </w:numPr>
        <w:spacing w:line="360" w:lineRule="auto"/>
        <w:ind w:left="0" w:leftChars="0" w:firstLine="320" w:firstLineChars="100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成本节约(2分)</w:t>
      </w:r>
    </w:p>
    <w:p>
      <w:pPr>
        <w:pStyle w:val="9"/>
        <w:numPr>
          <w:ilvl w:val="0"/>
          <w:numId w:val="0"/>
        </w:numPr>
        <w:spacing w:line="360" w:lineRule="auto"/>
        <w:ind w:leftChars="100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 xml:space="preserve"> 项目监督及验收费用严格按国家规定执行。</w:t>
      </w:r>
    </w:p>
    <w:p>
      <w:pPr>
        <w:pStyle w:val="9"/>
        <w:numPr>
          <w:ilvl w:val="0"/>
          <w:numId w:val="0"/>
        </w:numPr>
        <w:spacing w:line="360" w:lineRule="auto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 xml:space="preserve"> </w:t>
      </w:r>
      <w:r>
        <w:rPr>
          <w:rFonts w:hint="default" w:ascii="Calibri" w:hAnsi="Calibri" w:eastAsia="仿宋" w:cs="Calibri"/>
          <w:sz w:val="32"/>
          <w:szCs w:val="32"/>
          <w:lang w:val="en-US" w:eastAsia="zh-CN"/>
        </w:rPr>
        <w:t>④</w:t>
      </w: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效率性(25分)</w:t>
      </w:r>
    </w:p>
    <w:p>
      <w:pPr>
        <w:pStyle w:val="9"/>
        <w:numPr>
          <w:ilvl w:val="0"/>
          <w:numId w:val="10"/>
        </w:numPr>
        <w:spacing w:line="360" w:lineRule="auto"/>
        <w:ind w:left="160" w:leftChars="0" w:firstLine="0" w:firstLineChars="0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完成进度、完成质量(25分)</w:t>
      </w:r>
    </w:p>
    <w:p>
      <w:pPr>
        <w:pStyle w:val="9"/>
        <w:numPr>
          <w:ilvl w:val="0"/>
          <w:numId w:val="0"/>
        </w:numPr>
        <w:spacing w:line="360" w:lineRule="auto"/>
        <w:ind w:left="160" w:leftChars="0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根据年度计划要求完验收任务。</w:t>
      </w:r>
    </w:p>
    <w:p>
      <w:pPr>
        <w:pStyle w:val="9"/>
        <w:numPr>
          <w:ilvl w:val="0"/>
          <w:numId w:val="11"/>
        </w:numPr>
        <w:spacing w:line="360" w:lineRule="auto"/>
        <w:ind w:left="160" w:leftChars="0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效益(30分)</w:t>
      </w:r>
    </w:p>
    <w:p>
      <w:pPr>
        <w:pStyle w:val="9"/>
        <w:numPr>
          <w:ilvl w:val="0"/>
          <w:numId w:val="12"/>
        </w:numPr>
        <w:spacing w:line="360" w:lineRule="auto"/>
        <w:ind w:left="160" w:leftChars="0" w:firstLine="0" w:firstLineChars="0"/>
        <w:rPr>
          <w:rFonts w:hint="eastAsia" w:ascii="Calibri" w:hAnsi="Calibri" w:eastAsia="仿宋" w:cs="Calibri"/>
          <w:sz w:val="32"/>
          <w:szCs w:val="32"/>
          <w:lang w:val="en-US"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效果性(25分)</w:t>
      </w:r>
    </w:p>
    <w:p>
      <w:pPr>
        <w:pStyle w:val="9"/>
        <w:numPr>
          <w:ilvl w:val="0"/>
          <w:numId w:val="13"/>
        </w:numPr>
        <w:spacing w:line="360" w:lineRule="auto"/>
        <w:ind w:left="160" w:leftChars="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Calibri" w:hAnsi="Calibri" w:eastAsia="仿宋" w:cs="Calibri"/>
          <w:sz w:val="32"/>
          <w:szCs w:val="32"/>
          <w:lang w:val="en-US" w:eastAsia="zh-CN"/>
        </w:rPr>
        <w:t>经济效益、社会效益、生态效益、可持续发展(25分)</w:t>
      </w:r>
    </w:p>
    <w:p>
      <w:pPr>
        <w:numPr>
          <w:ilvl w:val="0"/>
          <w:numId w:val="12"/>
        </w:numPr>
        <w:ind w:left="16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公平性(5分)</w:t>
      </w:r>
    </w:p>
    <w:p>
      <w:pPr>
        <w:numPr>
          <w:ilvl w:val="0"/>
          <w:numId w:val="0"/>
        </w:numPr>
        <w:ind w:left="160"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default" w:ascii="Calibri" w:hAnsi="Calibri" w:eastAsia="仿宋" w:cs="Calibri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满意度(5分)</w:t>
      </w:r>
    </w:p>
    <w:p>
      <w:pPr>
        <w:numPr>
          <w:ilvl w:val="0"/>
          <w:numId w:val="14"/>
        </w:numPr>
        <w:ind w:left="32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服务对象满意度(5分)</w:t>
      </w:r>
    </w:p>
    <w:p>
      <w:pPr>
        <w:numPr>
          <w:ilvl w:val="0"/>
          <w:numId w:val="0"/>
        </w:numPr>
        <w:ind w:left="320" w:leftChars="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人民群众满意度较高。</w:t>
      </w:r>
    </w:p>
    <w:p>
      <w:pPr>
        <w:pStyle w:val="9"/>
        <w:numPr>
          <w:ilvl w:val="0"/>
          <w:numId w:val="0"/>
        </w:numPr>
        <w:spacing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、存在问题</w:t>
      </w:r>
      <w:bookmarkStart w:id="0" w:name="_GoBack"/>
      <w:bookmarkEnd w:id="0"/>
    </w:p>
    <w:p>
      <w:pPr>
        <w:ind w:firstLine="640" w:firstLineChars="200"/>
        <w:rPr>
          <w:rFonts w:hint="eastAsia" w:eastAsia="宋体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F26C3F"/>
    <w:multiLevelType w:val="singleLevel"/>
    <w:tmpl w:val="C0F26C3F"/>
    <w:lvl w:ilvl="0" w:tentative="0">
      <w:start w:val="1"/>
      <w:numFmt w:val="decimal"/>
      <w:lvlText w:val="(%1)"/>
      <w:lvlJc w:val="left"/>
      <w:pPr>
        <w:tabs>
          <w:tab w:val="left" w:pos="312"/>
        </w:tabs>
        <w:ind w:left="160" w:firstLine="0"/>
      </w:pPr>
    </w:lvl>
  </w:abstractNum>
  <w:abstractNum w:abstractNumId="1">
    <w:nsid w:val="C133F57B"/>
    <w:multiLevelType w:val="singleLevel"/>
    <w:tmpl w:val="C133F57B"/>
    <w:lvl w:ilvl="0" w:tentative="0">
      <w:start w:val="1"/>
      <w:numFmt w:val="lowerLetter"/>
      <w:suff w:val="nothing"/>
      <w:lvlText w:val="%1、"/>
      <w:lvlJc w:val="left"/>
    </w:lvl>
  </w:abstractNum>
  <w:abstractNum w:abstractNumId="2">
    <w:nsid w:val="D50410E3"/>
    <w:multiLevelType w:val="singleLevel"/>
    <w:tmpl w:val="D50410E3"/>
    <w:lvl w:ilvl="0" w:tentative="0">
      <w:start w:val="1"/>
      <w:numFmt w:val="lowerLetter"/>
      <w:suff w:val="nothing"/>
      <w:lvlText w:val="%1、"/>
      <w:lvlJc w:val="left"/>
    </w:lvl>
  </w:abstractNum>
  <w:abstractNum w:abstractNumId="3">
    <w:nsid w:val="E547BBDC"/>
    <w:multiLevelType w:val="singleLevel"/>
    <w:tmpl w:val="E547BBDC"/>
    <w:lvl w:ilvl="0" w:tentative="0">
      <w:start w:val="1"/>
      <w:numFmt w:val="lowerLetter"/>
      <w:suff w:val="nothing"/>
      <w:lvlText w:val="%1、"/>
      <w:lvlJc w:val="left"/>
    </w:lvl>
  </w:abstractNum>
  <w:abstractNum w:abstractNumId="4">
    <w:nsid w:val="F0CE9604"/>
    <w:multiLevelType w:val="singleLevel"/>
    <w:tmpl w:val="F0CE9604"/>
    <w:lvl w:ilvl="0" w:tentative="0">
      <w:start w:val="1"/>
      <w:numFmt w:val="lowerLetter"/>
      <w:suff w:val="nothing"/>
      <w:lvlText w:val="%1、"/>
      <w:lvlJc w:val="left"/>
    </w:lvl>
  </w:abstractNum>
  <w:abstractNum w:abstractNumId="5">
    <w:nsid w:val="F37EF8B0"/>
    <w:multiLevelType w:val="singleLevel"/>
    <w:tmpl w:val="F37EF8B0"/>
    <w:lvl w:ilvl="0" w:tentative="0">
      <w:start w:val="1"/>
      <w:numFmt w:val="lowerLetter"/>
      <w:suff w:val="nothing"/>
      <w:lvlText w:val="%1、"/>
      <w:lvlJc w:val="left"/>
      <w:pPr>
        <w:ind w:left="320" w:firstLine="0"/>
      </w:pPr>
    </w:lvl>
  </w:abstractNum>
  <w:abstractNum w:abstractNumId="6">
    <w:nsid w:val="039D0E0F"/>
    <w:multiLevelType w:val="singleLevel"/>
    <w:tmpl w:val="039D0E0F"/>
    <w:lvl w:ilvl="0" w:tentative="0">
      <w:start w:val="1"/>
      <w:numFmt w:val="lowerLetter"/>
      <w:suff w:val="nothing"/>
      <w:lvlText w:val="%1、"/>
      <w:lvlJc w:val="left"/>
    </w:lvl>
  </w:abstractNum>
  <w:abstractNum w:abstractNumId="7">
    <w:nsid w:val="2ED0D1F1"/>
    <w:multiLevelType w:val="singleLevel"/>
    <w:tmpl w:val="2ED0D1F1"/>
    <w:lvl w:ilvl="0" w:tentative="0">
      <w:start w:val="3"/>
      <w:numFmt w:val="decimal"/>
      <w:suff w:val="nothing"/>
      <w:lvlText w:val="%1、"/>
      <w:lvlJc w:val="left"/>
    </w:lvl>
  </w:abstractNum>
  <w:abstractNum w:abstractNumId="8">
    <w:nsid w:val="38BCE73A"/>
    <w:multiLevelType w:val="singleLevel"/>
    <w:tmpl w:val="38BCE73A"/>
    <w:lvl w:ilvl="0" w:tentative="0">
      <w:start w:val="1"/>
      <w:numFmt w:val="lowerLetter"/>
      <w:suff w:val="nothing"/>
      <w:lvlText w:val="%1、"/>
      <w:lvlJc w:val="left"/>
      <w:pPr>
        <w:ind w:left="160" w:firstLine="0"/>
      </w:pPr>
    </w:lvl>
  </w:abstractNum>
  <w:abstractNum w:abstractNumId="9">
    <w:nsid w:val="48911E35"/>
    <w:multiLevelType w:val="singleLevel"/>
    <w:tmpl w:val="48911E35"/>
    <w:lvl w:ilvl="0" w:tentative="0">
      <w:start w:val="1"/>
      <w:numFmt w:val="lowerLetter"/>
      <w:suff w:val="nothing"/>
      <w:lvlText w:val="%1、"/>
      <w:lvlJc w:val="left"/>
    </w:lvl>
  </w:abstractNum>
  <w:abstractNum w:abstractNumId="10">
    <w:nsid w:val="54718288"/>
    <w:multiLevelType w:val="singleLevel"/>
    <w:tmpl w:val="54718288"/>
    <w:lvl w:ilvl="0" w:tentative="0">
      <w:start w:val="1"/>
      <w:numFmt w:val="chineseCounting"/>
      <w:suff w:val="nothing"/>
      <w:lvlText w:val="%1、"/>
      <w:lvlJc w:val="left"/>
    </w:lvl>
  </w:abstractNum>
  <w:abstractNum w:abstractNumId="11">
    <w:nsid w:val="5471861D"/>
    <w:multiLevelType w:val="singleLevel"/>
    <w:tmpl w:val="5471861D"/>
    <w:lvl w:ilvl="0" w:tentative="0">
      <w:start w:val="1"/>
      <w:numFmt w:val="decimal"/>
      <w:suff w:val="nothing"/>
      <w:lvlText w:val="%1、"/>
      <w:lvlJc w:val="left"/>
    </w:lvl>
  </w:abstractNum>
  <w:abstractNum w:abstractNumId="12">
    <w:nsid w:val="5A93B84A"/>
    <w:multiLevelType w:val="singleLevel"/>
    <w:tmpl w:val="5A93B84A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3">
    <w:nsid w:val="736674DA"/>
    <w:multiLevelType w:val="singleLevel"/>
    <w:tmpl w:val="736674DA"/>
    <w:lvl w:ilvl="0" w:tentative="0">
      <w:start w:val="1"/>
      <w:numFmt w:val="lowerLetter"/>
      <w:suff w:val="nothing"/>
      <w:lvlText w:val="%1、"/>
      <w:lvlJc w:val="left"/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1"/>
  </w:num>
  <w:num w:numId="5">
    <w:abstractNumId w:val="6"/>
  </w:num>
  <w:num w:numId="6">
    <w:abstractNumId w:val="12"/>
  </w:num>
  <w:num w:numId="7">
    <w:abstractNumId w:val="13"/>
  </w:num>
  <w:num w:numId="8">
    <w:abstractNumId w:val="4"/>
  </w:num>
  <w:num w:numId="9">
    <w:abstractNumId w:val="2"/>
  </w:num>
  <w:num w:numId="10">
    <w:abstractNumId w:val="8"/>
  </w:num>
  <w:num w:numId="11">
    <w:abstractNumId w:val="7"/>
  </w:num>
  <w:num w:numId="12">
    <w:abstractNumId w:val="0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ZjNTAwNGEyOTc0MDQ0NzlkMGMwMTQ5ZWI2ZmNlZmU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9921607"/>
    <w:rsid w:val="42C657A0"/>
    <w:rsid w:val="468762A1"/>
    <w:rsid w:val="5375086E"/>
    <w:rsid w:val="659B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正文 New New New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1542</Words>
  <Characters>1614</Characters>
  <Lines>1</Lines>
  <Paragraphs>1</Paragraphs>
  <TotalTime>5</TotalTime>
  <ScaleCrop>false</ScaleCrop>
  <LinksUpToDate>false</LinksUpToDate>
  <CharactersWithSpaces>1660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鑫众开源</cp:lastModifiedBy>
  <cp:lastPrinted>2018-10-25T02:57:00Z</cp:lastPrinted>
  <dcterms:modified xsi:type="dcterms:W3CDTF">2022-05-11T07:11:03Z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DC7A82B4B46A49048F713237BDF38BF2</vt:lpwstr>
  </property>
</Properties>
</file>