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360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360</w:t>
      </w:r>
      <w:r>
        <w:rPr>
          <w:rFonts w:hint="eastAsia" w:ascii="仿宋_GB2312" w:hAnsi="仿宋_GB2312" w:eastAsia="仿宋_GB2312"/>
          <w:sz w:val="32"/>
          <w:szCs w:val="32"/>
        </w:rPr>
        <w:t>万元，主要用于解决均村、温山等村民历史遗留电费问题，支付均村、温山、杨溪、红岭及大塘坑村电费。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（1）经济效益指标：解决村民历史遗留问题，解决村民生活用电。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（3）社会效益：维护社会稳定。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对环境、经济、社会的可持续影响为长期，解决村民历史遗留问题，解决村民生活用电，维护社会稳定。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5307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A0C3112"/>
    <w:rsid w:val="39921607"/>
    <w:rsid w:val="447A48FC"/>
    <w:rsid w:val="468762A1"/>
    <w:rsid w:val="5375086E"/>
    <w:rsid w:val="6664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198</Words>
  <Characters>1129</Characters>
  <Lines>9</Lines>
  <Paragraphs>2</Paragraphs>
  <TotalTime>57</TotalTime>
  <ScaleCrop>false</ScaleCrop>
  <LinksUpToDate>false</LinksUpToDate>
  <CharactersWithSpaces>1325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</cp:lastModifiedBy>
  <cp:lastPrinted>2018-10-25T02:57:00Z</cp:lastPrinted>
  <dcterms:modified xsi:type="dcterms:W3CDTF">2022-04-18T08:49:31Z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