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1、项目资金实际总投入情况：投入2万元。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2、项目资金实际支出情况：支出2万元。主要用于开展乡镇团组织相关活动经费开支。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（1）经济效益指标：发挥团员先锋模范作用，发展共青团的青年力量。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（3）社会效益：发挥团员先锋模范作用，发展共青团的青年力量。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（1）环境可持续影响为长期，发挥团员先锋模范作用，发展共青团的青年力量。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（2）经济、社会的可持续影响为长期，发挥团员先锋模范作用，发展共青团的青年力量。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ACD5159"/>
    <w:rsid w:val="1BEA0FB0"/>
    <w:rsid w:val="2A0C3112"/>
    <w:rsid w:val="32D60AB9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200</Words>
  <Characters>1143</Characters>
  <Lines>9</Lines>
  <Paragraphs>2</Paragraphs>
  <TotalTime>1</TotalTime>
  <ScaleCrop>false</ScaleCrop>
  <LinksUpToDate>false</LinksUpToDate>
  <CharactersWithSpaces>1341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Admin</cp:lastModifiedBy>
  <cp:lastPrinted>2018-10-25T02:57:00Z</cp:lastPrinted>
  <dcterms:modified xsi:type="dcterms:W3CDTF">2022-04-18T03:48:00Z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