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1、项目资金实际总投入情况：投入29500元。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2、项目资金实际支出情况：实际支出29500元，主要用于发放村民小组长生活补贴，提高其工作积极性。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（3）社会效益：保障村民小组长基本生活补贴，提高其工作积极性，更好的为群众服务。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对环境、经济、社会的可持续影响为长期，保障村民小组长基本生活补贴，提高其工作积极性，更好的为群众服务。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C453F"/>
    <w:rsid w:val="00114DDB"/>
    <w:rsid w:val="00182223"/>
    <w:rsid w:val="002350C8"/>
    <w:rsid w:val="002A10F6"/>
    <w:rsid w:val="00366CC7"/>
    <w:rsid w:val="003A624B"/>
    <w:rsid w:val="003B25CA"/>
    <w:rsid w:val="003D12B3"/>
    <w:rsid w:val="003F78E9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E716081"/>
    <w:rsid w:val="15AD3C09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2022-04-18T12:45:05Z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