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wordWrap w:val="0"/>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附件</w:t>
      </w:r>
      <w:r>
        <w:rPr>
          <w:rFonts w:hint="eastAsia" w:ascii="仿宋_GB2312" w:hAnsi="仿宋_GB2312" w:eastAsia="仿宋_GB2312" w:cs="仿宋_GB2312"/>
          <w:color w:val="auto"/>
          <w:sz w:val="32"/>
          <w:szCs w:val="32"/>
          <w:lang w:val="en-US" w:eastAsia="zh-CN"/>
        </w:rPr>
        <w:t>4</w:t>
      </w:r>
    </w:p>
    <w:p>
      <w:pPr>
        <w:keepNext w:val="0"/>
        <w:keepLines w:val="0"/>
        <w:pageBreakBefore w:val="0"/>
        <w:widowControl w:val="0"/>
        <w:wordWrap w:val="0"/>
        <w:topLinePunct w:val="0"/>
        <w:autoSpaceDE/>
        <w:autoSpaceDN/>
        <w:bidi w:val="0"/>
        <w:spacing w:line="560" w:lineRule="exact"/>
        <w:textAlignment w:val="auto"/>
        <w:rPr>
          <w:rFonts w:ascii="仿宋_GB2312" w:hAnsi="仿宋_GB2312" w:eastAsia="仿宋_GB2312" w:cs="仿宋_GB2312"/>
          <w:color w:val="auto"/>
          <w:sz w:val="32"/>
          <w:szCs w:val="32"/>
        </w:rPr>
      </w:pPr>
    </w:p>
    <w:p>
      <w:pPr>
        <w:keepNext w:val="0"/>
        <w:keepLines w:val="0"/>
        <w:pageBreakBefore w:val="0"/>
        <w:widowControl w:val="0"/>
        <w:wordWrap w:val="0"/>
        <w:topLinePunct w:val="0"/>
        <w:autoSpaceDE/>
        <w:autoSpaceDN/>
        <w:bidi w:val="0"/>
        <w:spacing w:line="700" w:lineRule="exact"/>
        <w:jc w:val="center"/>
        <w:textAlignment w:val="auto"/>
        <w:rPr>
          <w:rFonts w:hint="eastAsia"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color w:val="auto"/>
          <w:sz w:val="44"/>
          <w:szCs w:val="44"/>
        </w:rPr>
        <w:t xml:space="preserve"> 乳源瑶族自治县</w:t>
      </w:r>
      <w:r>
        <w:rPr>
          <w:rFonts w:hint="eastAsia" w:ascii="方正小标宋简体" w:hAnsi="方正小标宋简体" w:eastAsia="方正小标宋简体" w:cs="方正小标宋简体"/>
          <w:color w:val="auto"/>
          <w:sz w:val="44"/>
          <w:szCs w:val="44"/>
          <w:lang w:eastAsia="zh-CN"/>
        </w:rPr>
        <w:t>中小学幼儿园公办学位</w:t>
      </w:r>
    </w:p>
    <w:p>
      <w:pPr>
        <w:keepNext w:val="0"/>
        <w:keepLines w:val="0"/>
        <w:pageBreakBefore w:val="0"/>
        <w:widowControl w:val="0"/>
        <w:wordWrap w:val="0"/>
        <w:topLinePunct w:val="0"/>
        <w:autoSpaceDE/>
        <w:autoSpaceDN/>
        <w:bidi w:val="0"/>
        <w:spacing w:line="70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lang w:eastAsia="zh-CN"/>
        </w:rPr>
        <w:t>“十四五”建设专项</w:t>
      </w:r>
      <w:r>
        <w:rPr>
          <w:rFonts w:hint="eastAsia" w:ascii="方正小标宋简体" w:hAnsi="方正小标宋简体" w:eastAsia="方正小标宋简体" w:cs="方正小标宋简体"/>
          <w:color w:val="auto"/>
          <w:sz w:val="44"/>
          <w:szCs w:val="44"/>
        </w:rPr>
        <w:t>规划</w:t>
      </w:r>
    </w:p>
    <w:p>
      <w:pPr>
        <w:keepNext w:val="0"/>
        <w:keepLines w:val="0"/>
        <w:pageBreakBefore w:val="0"/>
        <w:widowControl w:val="0"/>
        <w:wordWrap w:val="0"/>
        <w:topLinePunct w:val="0"/>
        <w:autoSpaceDE/>
        <w:autoSpaceDN/>
        <w:bidi w:val="0"/>
        <w:spacing w:line="70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（2021-2025年）</w:t>
      </w:r>
    </w:p>
    <w:p>
      <w:pPr>
        <w:keepNext w:val="0"/>
        <w:keepLines w:val="0"/>
        <w:pageBreakBefore w:val="0"/>
        <w:widowControl w:val="0"/>
        <w:wordWrap w:val="0"/>
        <w:topLinePunct w:val="0"/>
        <w:autoSpaceDE/>
        <w:autoSpaceDN/>
        <w:bidi w:val="0"/>
        <w:spacing w:line="560" w:lineRule="exact"/>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p>
    <w:p>
      <w:pPr>
        <w:keepNext w:val="0"/>
        <w:keepLines w:val="0"/>
        <w:pageBreakBefore w:val="0"/>
        <w:widowControl w:val="0"/>
        <w:wordWrap w:val="0"/>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为深入贯彻落实《广东省人民政府关于</w:t>
      </w:r>
      <w:r>
        <w:rPr>
          <w:rFonts w:hint="eastAsia" w:ascii="仿宋_GB2312" w:hAnsi="仿宋_GB2312" w:eastAsia="仿宋_GB2312" w:cs="仿宋_GB2312"/>
          <w:color w:val="auto"/>
          <w:sz w:val="32"/>
          <w:szCs w:val="32"/>
          <w:lang w:eastAsia="zh-CN"/>
        </w:rPr>
        <w:t>印发广东省推动基础教育高质量发展行动方案的通知</w:t>
      </w:r>
      <w:r>
        <w:rPr>
          <w:rFonts w:hint="eastAsia" w:ascii="仿宋_GB2312" w:hAnsi="仿宋_GB2312" w:eastAsia="仿宋_GB2312" w:cs="仿宋_GB2312"/>
          <w:color w:val="auto"/>
          <w:sz w:val="32"/>
          <w:szCs w:val="32"/>
        </w:rPr>
        <w:t>》（粤府〔20</w:t>
      </w: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55</w:t>
      </w:r>
      <w:r>
        <w:rPr>
          <w:rFonts w:hint="eastAsia" w:ascii="仿宋_GB2312" w:hAnsi="仿宋_GB2312" w:eastAsia="仿宋_GB2312" w:cs="仿宋_GB2312"/>
          <w:color w:val="auto"/>
          <w:sz w:val="32"/>
          <w:szCs w:val="32"/>
        </w:rPr>
        <w:t>号）《广东省</w:t>
      </w:r>
      <w:r>
        <w:rPr>
          <w:rFonts w:hint="eastAsia" w:ascii="仿宋_GB2312" w:hAnsi="仿宋_GB2312" w:eastAsia="仿宋_GB2312" w:cs="仿宋_GB2312"/>
          <w:color w:val="auto"/>
          <w:sz w:val="32"/>
          <w:szCs w:val="32"/>
          <w:lang w:eastAsia="zh-CN"/>
        </w:rPr>
        <w:t>增加中小学幼儿园公办优质学位供给实施办法</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《关于编制&lt;韶关市中小学幼儿园优质公办学位“十四五”建设规划&gt;的通知》</w:t>
      </w:r>
      <w:r>
        <w:rPr>
          <w:rFonts w:hint="eastAsia" w:ascii="仿宋_GB2312" w:hAnsi="仿宋_GB2312" w:eastAsia="仿宋_GB2312" w:cs="仿宋_GB2312"/>
          <w:color w:val="auto"/>
          <w:sz w:val="32"/>
          <w:szCs w:val="32"/>
        </w:rPr>
        <w:t>等文件要求，进一步优化我县学前教育和义务教育资源配置</w:t>
      </w:r>
      <w:r>
        <w:rPr>
          <w:rFonts w:hint="eastAsia" w:ascii="仿宋_GB2312" w:hAnsi="仿宋_GB2312" w:eastAsia="仿宋_GB2312" w:cs="仿宋_GB2312"/>
          <w:color w:val="auto"/>
          <w:sz w:val="32"/>
          <w:szCs w:val="32"/>
          <w:lang w:eastAsia="zh-CN"/>
        </w:rPr>
        <w:t>，增加公办优质学位供给，结合我县实际，制定本规划。</w:t>
      </w:r>
    </w:p>
    <w:p>
      <w:pPr>
        <w:keepNext w:val="0"/>
        <w:keepLines w:val="0"/>
        <w:pageBreakBefore w:val="0"/>
        <w:widowControl w:val="0"/>
        <w:wordWrap w:val="0"/>
        <w:topLinePunct w:val="0"/>
        <w:autoSpaceDE/>
        <w:autoSpaceDN/>
        <w:bidi w:val="0"/>
        <w:spacing w:line="560" w:lineRule="exact"/>
        <w:ind w:firstLine="640" w:firstLineChars="200"/>
        <w:textAlignment w:val="auto"/>
        <w:rPr>
          <w:rFonts w:ascii="黑体" w:hAnsi="黑体" w:eastAsia="黑体" w:cs="黑体"/>
          <w:color w:val="auto"/>
          <w:sz w:val="32"/>
          <w:szCs w:val="32"/>
        </w:rPr>
      </w:pPr>
      <w:r>
        <w:rPr>
          <w:rFonts w:hint="eastAsia" w:ascii="黑体" w:hAnsi="黑体" w:eastAsia="黑体" w:cs="黑体"/>
          <w:color w:val="auto"/>
          <w:sz w:val="32"/>
          <w:szCs w:val="32"/>
        </w:rPr>
        <w:t>一、基本情况和现状分析</w:t>
      </w:r>
    </w:p>
    <w:p>
      <w:pPr>
        <w:keepNext w:val="0"/>
        <w:keepLines w:val="0"/>
        <w:pageBreakBefore w:val="0"/>
        <w:widowControl w:val="0"/>
        <w:wordWrap w:val="0"/>
        <w:topLinePunct w:val="0"/>
        <w:autoSpaceDE/>
        <w:autoSpaceDN/>
        <w:bidi w:val="0"/>
        <w:spacing w:line="560" w:lineRule="exact"/>
        <w:ind w:firstLine="640" w:firstLineChars="200"/>
        <w:textAlignment w:val="auto"/>
        <w:rPr>
          <w:rFonts w:ascii="方正楷体简体" w:hAnsi="方正楷体简体" w:eastAsia="方正楷体简体" w:cs="方正楷体简体"/>
          <w:color w:val="auto"/>
          <w:sz w:val="32"/>
          <w:szCs w:val="32"/>
        </w:rPr>
      </w:pPr>
      <w:r>
        <w:rPr>
          <w:rFonts w:hint="eastAsia" w:ascii="方正楷体简体" w:hAnsi="方正楷体简体" w:eastAsia="方正楷体简体" w:cs="方正楷体简体"/>
          <w:color w:val="auto"/>
          <w:sz w:val="32"/>
          <w:szCs w:val="32"/>
        </w:rPr>
        <w:t>（一）基本情况</w:t>
      </w:r>
    </w:p>
    <w:p>
      <w:pPr>
        <w:keepNext w:val="0"/>
        <w:keepLines w:val="0"/>
        <w:pageBreakBefore w:val="0"/>
        <w:widowControl w:val="0"/>
        <w:wordWrap w:val="0"/>
        <w:topLinePunct w:val="0"/>
        <w:autoSpaceDE/>
        <w:autoSpaceDN/>
        <w:bidi w:val="0"/>
        <w:spacing w:line="560" w:lineRule="exact"/>
        <w:ind w:firstLine="643"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 xml:space="preserve"> 1.经济社会发展概况</w:t>
      </w:r>
      <w:r>
        <w:rPr>
          <w:rFonts w:hint="eastAsia" w:ascii="仿宋_GB2312" w:hAnsi="仿宋_GB2312" w:eastAsia="仿宋_GB2312" w:cs="仿宋_GB2312"/>
          <w:color w:val="auto"/>
          <w:sz w:val="32"/>
          <w:szCs w:val="32"/>
        </w:rPr>
        <w:t>。我县是广东省三个少数民族自治县，集革命老区、石灰岩山区、少数民族地区、生态发展区于一体，被誉为“世界过山瑶之乡”。全县总面积2299平方公里，总人口23.2万，其中瑶族人口2.5万，占总人口的10.7%。2020年，全县生产总值95亿元；地方财政一般预算收入5.6亿元；社会固定资产投资44.3亿元；城乡居民人均可支配收入2.35万元。</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lang w:eastAsia="zh-CN"/>
        </w:rPr>
        <w:t>幼儿园情况。</w:t>
      </w:r>
      <w:r>
        <w:rPr>
          <w:rFonts w:hint="eastAsia" w:ascii="仿宋_GB2312" w:hAnsi="仿宋_GB2312" w:eastAsia="仿宋_GB2312" w:cs="仿宋_GB2312"/>
          <w:color w:val="auto"/>
          <w:sz w:val="32"/>
          <w:szCs w:val="32"/>
          <w:lang w:val="en-US" w:eastAsia="zh-CN"/>
        </w:rPr>
        <w:t>2021年秋季，</w:t>
      </w:r>
      <w:r>
        <w:rPr>
          <w:rFonts w:hint="eastAsia" w:ascii="仿宋_GB2312" w:hAnsi="仿宋_GB2312" w:eastAsia="仿宋_GB2312" w:cs="仿宋_GB2312"/>
          <w:color w:val="auto"/>
          <w:sz w:val="32"/>
          <w:szCs w:val="32"/>
          <w:lang w:eastAsia="zh-CN"/>
        </w:rPr>
        <w:t>全县在园幼儿8259人，公办和普惠性民办幼儿园在园幼儿7870人，占比为95.30%。公办幼儿园在园幼儿2276人（纯公办1562人，公办民助515人，企业办199人），占比为27.56%。</w:t>
      </w:r>
    </w:p>
    <w:p>
      <w:pPr>
        <w:keepNext w:val="0"/>
        <w:keepLines w:val="0"/>
        <w:pageBreakBefore w:val="0"/>
        <w:widowControl w:val="0"/>
        <w:wordWrap w:val="0"/>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3</w:t>
      </w:r>
      <w:r>
        <w:rPr>
          <w:rFonts w:hint="eastAsia" w:ascii="仿宋_GB2312" w:hAnsi="仿宋_GB2312" w:eastAsia="仿宋_GB2312" w:cs="仿宋_GB2312"/>
          <w:b/>
          <w:bCs/>
          <w:color w:val="auto"/>
          <w:sz w:val="32"/>
          <w:szCs w:val="32"/>
        </w:rPr>
        <w:t>.</w:t>
      </w:r>
      <w:r>
        <w:rPr>
          <w:rFonts w:hint="eastAsia" w:ascii="仿宋_GB2312" w:hAnsi="仿宋_GB2312" w:eastAsia="仿宋_GB2312" w:cs="仿宋_GB2312"/>
          <w:b/>
          <w:bCs/>
          <w:color w:val="auto"/>
          <w:sz w:val="32"/>
          <w:szCs w:val="32"/>
          <w:lang w:eastAsia="zh-CN"/>
        </w:rPr>
        <w:t>中小</w:t>
      </w:r>
      <w:r>
        <w:rPr>
          <w:rFonts w:hint="eastAsia" w:ascii="仿宋_GB2312" w:hAnsi="仿宋_GB2312" w:eastAsia="仿宋_GB2312" w:cs="仿宋_GB2312"/>
          <w:b/>
          <w:bCs/>
          <w:color w:val="auto"/>
          <w:sz w:val="32"/>
          <w:szCs w:val="32"/>
        </w:rPr>
        <w:t>学情况</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val="en-US" w:eastAsia="zh-CN"/>
        </w:rPr>
        <w:t>2021年秋季，</w:t>
      </w:r>
      <w:r>
        <w:rPr>
          <w:rFonts w:hint="eastAsia" w:ascii="仿宋_GB2312" w:hAnsi="仿宋_GB2312" w:eastAsia="仿宋_GB2312" w:cs="仿宋_GB2312"/>
          <w:b w:val="0"/>
          <w:bCs w:val="0"/>
          <w:color w:val="auto"/>
          <w:sz w:val="32"/>
          <w:szCs w:val="32"/>
        </w:rPr>
        <w:t>我县</w:t>
      </w:r>
      <w:r>
        <w:rPr>
          <w:rFonts w:hint="eastAsia" w:ascii="仿宋_GB2312" w:hAnsi="仿宋_GB2312" w:eastAsia="仿宋_GB2312" w:cs="仿宋_GB2312"/>
          <w:b w:val="0"/>
          <w:bCs w:val="0"/>
          <w:color w:val="auto"/>
          <w:sz w:val="32"/>
          <w:szCs w:val="32"/>
          <w:lang w:eastAsia="zh-CN"/>
        </w:rPr>
        <w:t>有义务教育学校</w:t>
      </w:r>
      <w:r>
        <w:rPr>
          <w:rFonts w:hint="eastAsia" w:ascii="仿宋_GB2312" w:hAnsi="仿宋_GB2312" w:eastAsia="仿宋_GB2312" w:cs="仿宋_GB2312"/>
          <w:b w:val="0"/>
          <w:bCs w:val="0"/>
          <w:color w:val="auto"/>
          <w:sz w:val="32"/>
          <w:szCs w:val="32"/>
          <w:lang w:val="en-US" w:eastAsia="zh-CN"/>
        </w:rPr>
        <w:t>19所</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其中完全小学1</w:t>
      </w: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所、初中</w:t>
      </w:r>
      <w:r>
        <w:rPr>
          <w:rFonts w:hint="eastAsia" w:ascii="仿宋_GB2312" w:hAnsi="仿宋_GB2312" w:eastAsia="仿宋_GB2312" w:cs="仿宋_GB2312"/>
          <w:b w:val="0"/>
          <w:bCs w:val="0"/>
          <w:color w:val="auto"/>
          <w:sz w:val="32"/>
          <w:szCs w:val="32"/>
          <w:lang w:val="en-US" w:eastAsia="zh-CN"/>
        </w:rPr>
        <w:t>7</w:t>
      </w:r>
      <w:r>
        <w:rPr>
          <w:rFonts w:hint="eastAsia" w:ascii="仿宋_GB2312" w:hAnsi="仿宋_GB2312" w:eastAsia="仿宋_GB2312" w:cs="仿宋_GB2312"/>
          <w:b w:val="0"/>
          <w:bCs w:val="0"/>
          <w:color w:val="auto"/>
          <w:sz w:val="32"/>
          <w:szCs w:val="32"/>
        </w:rPr>
        <w:t>所</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eastAsia="zh-CN"/>
        </w:rPr>
        <w:t>高中阶段学校</w:t>
      </w:r>
      <w:r>
        <w:rPr>
          <w:rFonts w:hint="eastAsia" w:ascii="仿宋_GB2312" w:hAnsi="仿宋_GB2312" w:eastAsia="仿宋_GB2312" w:cs="仿宋_GB2312"/>
          <w:b w:val="0"/>
          <w:bCs w:val="0"/>
          <w:color w:val="auto"/>
          <w:sz w:val="32"/>
          <w:szCs w:val="32"/>
          <w:lang w:val="en-US" w:eastAsia="zh-CN"/>
        </w:rPr>
        <w:t>2所（其中</w:t>
      </w:r>
      <w:r>
        <w:rPr>
          <w:rFonts w:hint="eastAsia" w:ascii="仿宋_GB2312" w:hAnsi="仿宋_GB2312" w:eastAsia="仿宋_GB2312" w:cs="仿宋_GB2312"/>
          <w:b w:val="0"/>
          <w:bCs w:val="0"/>
          <w:color w:val="auto"/>
          <w:sz w:val="32"/>
          <w:szCs w:val="32"/>
        </w:rPr>
        <w:t>普通高中1所、中等职业技术学校1所</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。小学在校生</w:t>
      </w:r>
      <w:r>
        <w:rPr>
          <w:rFonts w:hint="eastAsia" w:ascii="仿宋_GB2312" w:hAnsi="仿宋_GB2312" w:eastAsia="仿宋_GB2312" w:cs="仿宋_GB2312"/>
          <w:b w:val="0"/>
          <w:bCs w:val="0"/>
          <w:color w:val="auto"/>
          <w:sz w:val="32"/>
          <w:szCs w:val="32"/>
          <w:lang w:val="en-US" w:eastAsia="zh-CN"/>
        </w:rPr>
        <w:t>18753</w:t>
      </w:r>
      <w:r>
        <w:rPr>
          <w:rFonts w:hint="eastAsia" w:ascii="仿宋_GB2312" w:hAnsi="仿宋_GB2312" w:eastAsia="仿宋_GB2312" w:cs="仿宋_GB2312"/>
          <w:b w:val="0"/>
          <w:bCs w:val="0"/>
          <w:color w:val="auto"/>
          <w:sz w:val="32"/>
          <w:szCs w:val="32"/>
        </w:rPr>
        <w:t>人，初中阶段在校生7</w:t>
      </w:r>
      <w:r>
        <w:rPr>
          <w:rFonts w:hint="eastAsia" w:ascii="仿宋_GB2312" w:hAnsi="仿宋_GB2312" w:eastAsia="仿宋_GB2312" w:cs="仿宋_GB2312"/>
          <w:b w:val="0"/>
          <w:bCs w:val="0"/>
          <w:color w:val="auto"/>
          <w:sz w:val="32"/>
          <w:szCs w:val="32"/>
          <w:lang w:val="en-US" w:eastAsia="zh-CN"/>
        </w:rPr>
        <w:t>379</w:t>
      </w:r>
      <w:r>
        <w:rPr>
          <w:rFonts w:hint="eastAsia" w:ascii="仿宋_GB2312" w:hAnsi="仿宋_GB2312" w:eastAsia="仿宋_GB2312" w:cs="仿宋_GB2312"/>
          <w:b w:val="0"/>
          <w:bCs w:val="0"/>
          <w:color w:val="auto"/>
          <w:sz w:val="32"/>
          <w:szCs w:val="32"/>
        </w:rPr>
        <w:t>人，高中阶段在校生</w:t>
      </w:r>
      <w:r>
        <w:rPr>
          <w:rFonts w:hint="eastAsia" w:ascii="仿宋_GB2312" w:hAnsi="仿宋_GB2312" w:eastAsia="仿宋_GB2312" w:cs="仿宋_GB2312"/>
          <w:b w:val="0"/>
          <w:bCs w:val="0"/>
          <w:color w:val="auto"/>
          <w:sz w:val="32"/>
          <w:szCs w:val="32"/>
          <w:lang w:val="en-US" w:eastAsia="zh-CN"/>
        </w:rPr>
        <w:t>4434</w:t>
      </w:r>
      <w:r>
        <w:rPr>
          <w:rFonts w:hint="eastAsia" w:ascii="仿宋_GB2312" w:hAnsi="仿宋_GB2312" w:eastAsia="仿宋_GB2312" w:cs="仿宋_GB2312"/>
          <w:b w:val="0"/>
          <w:bCs w:val="0"/>
          <w:color w:val="auto"/>
          <w:sz w:val="32"/>
          <w:szCs w:val="32"/>
        </w:rPr>
        <w:t>人</w:t>
      </w:r>
      <w:r>
        <w:rPr>
          <w:rFonts w:hint="eastAsia" w:ascii="仿宋_GB2312" w:hAnsi="仿宋_GB2312" w:eastAsia="仿宋_GB2312" w:cs="仿宋_GB2312"/>
          <w:b w:val="0"/>
          <w:bCs w:val="0"/>
          <w:color w:val="auto"/>
          <w:sz w:val="32"/>
          <w:szCs w:val="32"/>
          <w:lang w:eastAsia="zh-CN"/>
        </w:rPr>
        <w:t>。小学</w:t>
      </w:r>
      <w:r>
        <w:rPr>
          <w:rFonts w:hint="eastAsia" w:ascii="仿宋_GB2312" w:hAnsi="仿宋_GB2312" w:eastAsia="仿宋_GB2312" w:cs="仿宋_GB2312"/>
          <w:b w:val="0"/>
          <w:bCs w:val="0"/>
          <w:color w:val="auto"/>
          <w:sz w:val="32"/>
          <w:szCs w:val="32"/>
        </w:rPr>
        <w:t>毛入学率</w:t>
      </w:r>
      <w:r>
        <w:rPr>
          <w:rFonts w:hint="eastAsia" w:ascii="仿宋_GB2312" w:hAnsi="仿宋_GB2312" w:eastAsia="仿宋_GB2312" w:cs="仿宋_GB2312"/>
          <w:b w:val="0"/>
          <w:bCs w:val="0"/>
          <w:color w:val="auto"/>
          <w:sz w:val="32"/>
          <w:szCs w:val="32"/>
          <w:lang w:val="en-US" w:eastAsia="zh-CN"/>
        </w:rPr>
        <w:t>102.94</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eastAsia="zh-CN"/>
        </w:rPr>
        <w:t>初中毛入学率</w:t>
      </w:r>
      <w:r>
        <w:rPr>
          <w:rFonts w:hint="eastAsia" w:ascii="仿宋_GB2312" w:hAnsi="仿宋_GB2312" w:eastAsia="仿宋_GB2312" w:cs="仿宋_GB2312"/>
          <w:b w:val="0"/>
          <w:bCs w:val="0"/>
          <w:color w:val="auto"/>
          <w:sz w:val="32"/>
          <w:szCs w:val="32"/>
          <w:lang w:val="en-US" w:eastAsia="zh-CN"/>
        </w:rPr>
        <w:t>113.16%，</w:t>
      </w:r>
      <w:r>
        <w:rPr>
          <w:rFonts w:hint="eastAsia" w:ascii="仿宋_GB2312" w:hAnsi="仿宋_GB2312" w:eastAsia="仿宋_GB2312" w:cs="仿宋_GB2312"/>
          <w:b w:val="0"/>
          <w:bCs w:val="0"/>
          <w:color w:val="auto"/>
          <w:sz w:val="32"/>
          <w:szCs w:val="32"/>
        </w:rPr>
        <w:t>高中阶段教育毛入学率</w:t>
      </w:r>
      <w:r>
        <w:rPr>
          <w:rFonts w:hint="eastAsia" w:ascii="仿宋_GB2312" w:hAnsi="仿宋_GB2312" w:eastAsia="仿宋_GB2312" w:cs="仿宋_GB2312"/>
          <w:b w:val="0"/>
          <w:bCs w:val="0"/>
          <w:color w:val="auto"/>
          <w:sz w:val="32"/>
          <w:szCs w:val="32"/>
          <w:lang w:val="en-US" w:eastAsia="zh-CN"/>
        </w:rPr>
        <w:t>98.10</w:t>
      </w:r>
      <w:r>
        <w:rPr>
          <w:rFonts w:hint="eastAsia" w:ascii="仿宋_GB2312" w:hAnsi="仿宋_GB2312" w:eastAsia="仿宋_GB2312" w:cs="仿宋_GB2312"/>
          <w:b w:val="0"/>
          <w:bCs w:val="0"/>
          <w:color w:val="auto"/>
          <w:sz w:val="32"/>
          <w:szCs w:val="32"/>
        </w:rPr>
        <w:t>%。全县义务教育班</w:t>
      </w:r>
      <w:r>
        <w:rPr>
          <w:rFonts w:hint="eastAsia" w:ascii="仿宋_GB2312" w:hAnsi="仿宋_GB2312" w:eastAsia="仿宋_GB2312" w:cs="仿宋_GB2312"/>
          <w:b w:val="0"/>
          <w:bCs w:val="0"/>
          <w:color w:val="auto"/>
          <w:sz w:val="32"/>
          <w:szCs w:val="32"/>
          <w:lang w:eastAsia="zh-CN"/>
        </w:rPr>
        <w:t>级</w:t>
      </w:r>
      <w:r>
        <w:rPr>
          <w:rFonts w:hint="eastAsia" w:ascii="仿宋_GB2312" w:hAnsi="仿宋_GB2312" w:eastAsia="仿宋_GB2312" w:cs="仿宋_GB2312"/>
          <w:b w:val="0"/>
          <w:bCs w:val="0"/>
          <w:color w:val="auto"/>
          <w:sz w:val="32"/>
          <w:szCs w:val="32"/>
        </w:rPr>
        <w:t>数681个，其中“小学45人以上大班额”</w:t>
      </w:r>
      <w:r>
        <w:rPr>
          <w:rFonts w:hint="eastAsia" w:ascii="仿宋_GB2312" w:hAnsi="仿宋_GB2312" w:eastAsia="仿宋_GB2312" w:cs="仿宋_GB2312"/>
          <w:b w:val="0"/>
          <w:bCs w:val="0"/>
          <w:color w:val="auto"/>
          <w:sz w:val="32"/>
          <w:szCs w:val="32"/>
          <w:lang w:val="en-US" w:eastAsia="zh-CN"/>
        </w:rPr>
        <w:t>46</w:t>
      </w:r>
      <w:r>
        <w:rPr>
          <w:rFonts w:hint="eastAsia" w:ascii="仿宋_GB2312" w:hAnsi="仿宋_GB2312" w:eastAsia="仿宋_GB2312" w:cs="仿宋_GB2312"/>
          <w:b w:val="0"/>
          <w:bCs w:val="0"/>
          <w:color w:val="auto"/>
          <w:sz w:val="32"/>
          <w:szCs w:val="32"/>
        </w:rPr>
        <w:t>个，占义务教育班级总数</w:t>
      </w:r>
      <w:r>
        <w:rPr>
          <w:rFonts w:hint="eastAsia" w:ascii="仿宋_GB2312" w:hAnsi="仿宋_GB2312" w:eastAsia="仿宋_GB2312" w:cs="仿宋_GB2312"/>
          <w:b w:val="0"/>
          <w:bCs w:val="0"/>
          <w:color w:val="auto"/>
          <w:sz w:val="32"/>
          <w:szCs w:val="32"/>
          <w:lang w:val="en-US" w:eastAsia="zh-CN"/>
        </w:rPr>
        <w:t>6.7</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eastAsia="zh-CN"/>
        </w:rPr>
        <w:t>。</w:t>
      </w:r>
    </w:p>
    <w:p>
      <w:pPr>
        <w:keepNext w:val="0"/>
        <w:keepLines w:val="0"/>
        <w:pageBreakBefore w:val="0"/>
        <w:widowControl w:val="0"/>
        <w:wordWrap w:val="0"/>
        <w:topLinePunct w:val="0"/>
        <w:autoSpaceDE/>
        <w:autoSpaceDN/>
        <w:bidi w:val="0"/>
        <w:spacing w:line="560" w:lineRule="exact"/>
        <w:ind w:firstLine="640" w:firstLineChars="200"/>
        <w:textAlignment w:val="auto"/>
        <w:rPr>
          <w:rFonts w:ascii="方正楷体简体" w:hAnsi="方正楷体简体" w:eastAsia="方正楷体简体" w:cs="方正楷体简体"/>
          <w:color w:val="auto"/>
          <w:sz w:val="32"/>
          <w:szCs w:val="32"/>
        </w:rPr>
      </w:pPr>
      <w:r>
        <w:rPr>
          <w:rFonts w:hint="eastAsia" w:ascii="方正楷体简体" w:hAnsi="方正楷体简体" w:eastAsia="方正楷体简体" w:cs="方正楷体简体"/>
          <w:color w:val="auto"/>
          <w:sz w:val="32"/>
          <w:szCs w:val="32"/>
        </w:rPr>
        <w:t>（二）现状分析</w:t>
      </w:r>
    </w:p>
    <w:p>
      <w:pPr>
        <w:keepNext w:val="0"/>
        <w:keepLines w:val="0"/>
        <w:pageBreakBefore w:val="0"/>
        <w:widowControl w:val="0"/>
        <w:wordWrap w:val="0"/>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我县以广东省义务教育标准化学校建设为依托，以教育信息化建设为手段，高起点、高标准、高规格建设学校。2012年成功创建为广东省教育强县，2016年成功创建为全国义务教育发展基本均衡县、国家级农村职业教育和成人教育示范县，2018年1月首批获得“广东省推进教育现代化先进县”称号。近几年来，新建了小学1所、幼儿园1所，扩建学校15所，新增校舍建筑面积达60000多平方米，新增了4000多个优质学位。教育规模不断扩大，越来越多的孩子在家门口就能享受到优质教育。</w:t>
      </w:r>
    </w:p>
    <w:p>
      <w:pPr>
        <w:keepNext w:val="0"/>
        <w:keepLines w:val="0"/>
        <w:pageBreakBefore w:val="0"/>
        <w:widowControl w:val="0"/>
        <w:wordWrap w:val="0"/>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随着国家二孩</w:t>
      </w:r>
      <w:r>
        <w:rPr>
          <w:rFonts w:hint="eastAsia" w:ascii="仿宋_GB2312" w:hAnsi="仿宋_GB2312" w:eastAsia="仿宋_GB2312" w:cs="仿宋_GB2312"/>
          <w:color w:val="auto"/>
          <w:sz w:val="32"/>
          <w:szCs w:val="32"/>
          <w:lang w:eastAsia="zh-CN"/>
        </w:rPr>
        <w:t>三孩</w:t>
      </w:r>
      <w:r>
        <w:rPr>
          <w:rFonts w:hint="eastAsia" w:ascii="仿宋_GB2312" w:hAnsi="仿宋_GB2312" w:eastAsia="仿宋_GB2312" w:cs="仿宋_GB2312"/>
          <w:color w:val="auto"/>
          <w:sz w:val="32"/>
          <w:szCs w:val="32"/>
        </w:rPr>
        <w:t>政策的出台和我县城镇化进程的快速推进，中心镇、县城常住人口包括外来务工人员子女越来越多，广大群众希望子女到中心镇中心小学、县城中小学接受优质教育的愿望越来越强烈。城镇基础教育资源供给明显不足，中小学校和幼儿园建设相对滞后，城区中小学“大班额”现象突显，公办园和普惠性幼儿园学位紧张，满足随迁子女平等接受义务教育需求的压力越来越大，人民群众对优质学位的需求与现有优质教育资源供给不平衡不充分之间的矛盾日益凸出。预计未来</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年我县将会分别迎来适龄学生入园和入学的高峰期，解决城镇基础教育学位不足问题已是迫在眉睫，刻不容缓。</w:t>
      </w:r>
    </w:p>
    <w:p>
      <w:pPr>
        <w:keepNext w:val="0"/>
        <w:keepLines w:val="0"/>
        <w:pageBreakBefore w:val="0"/>
        <w:widowControl w:val="0"/>
        <w:numPr>
          <w:ilvl w:val="0"/>
          <w:numId w:val="1"/>
        </w:numPr>
        <w:wordWrap w:val="0"/>
        <w:topLinePunct w:val="0"/>
        <w:autoSpaceDE/>
        <w:autoSpaceDN/>
        <w:bidi w:val="0"/>
        <w:spacing w:line="56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规划目标</w:t>
      </w:r>
    </w:p>
    <w:p>
      <w:pPr>
        <w:keepNext w:val="0"/>
        <w:keepLines w:val="0"/>
        <w:pageBreakBefore w:val="0"/>
        <w:widowControl w:val="0"/>
        <w:wordWrap w:val="0"/>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以</w:t>
      </w:r>
      <w:r>
        <w:rPr>
          <w:rFonts w:hint="eastAsia" w:ascii="仿宋_GB2312" w:hAnsi="仿宋_GB2312" w:eastAsia="仿宋_GB2312" w:cs="仿宋_GB2312"/>
          <w:color w:val="auto"/>
          <w:sz w:val="32"/>
          <w:szCs w:val="32"/>
        </w:rPr>
        <w:t>新建</w:t>
      </w:r>
      <w:r>
        <w:rPr>
          <w:rFonts w:hint="eastAsia" w:ascii="仿宋_GB2312" w:hAnsi="仿宋_GB2312" w:eastAsia="仿宋_GB2312" w:cs="仿宋_GB2312"/>
          <w:color w:val="auto"/>
          <w:sz w:val="32"/>
          <w:szCs w:val="32"/>
          <w:lang w:eastAsia="zh-CN"/>
        </w:rPr>
        <w:t>、改扩建一批中小学幼儿园为重点，加快推进基础教育公办优质学位建设，满足适龄儿童入学需求。</w:t>
      </w:r>
      <w:r>
        <w:rPr>
          <w:rFonts w:hint="eastAsia" w:ascii="仿宋_GB2312" w:hAnsi="仿宋_GB2312" w:eastAsia="仿宋_GB2312" w:cs="仿宋_GB2312"/>
          <w:color w:val="auto"/>
          <w:sz w:val="32"/>
          <w:szCs w:val="32"/>
        </w:rPr>
        <w:t>到2025年底，</w:t>
      </w:r>
      <w:r>
        <w:rPr>
          <w:rFonts w:hint="eastAsia" w:ascii="仿宋_GB2312" w:hAnsi="仿宋_GB2312" w:eastAsia="仿宋_GB2312" w:cs="仿宋_GB2312"/>
          <w:color w:val="auto"/>
          <w:sz w:val="32"/>
          <w:szCs w:val="32"/>
          <w:lang w:eastAsia="zh-CN"/>
        </w:rPr>
        <w:t>实现学位供给总体平衡和布局结构合理，新增基础教育公办学位</w:t>
      </w:r>
      <w:r>
        <w:rPr>
          <w:rFonts w:hint="eastAsia" w:ascii="仿宋_GB2312" w:hAnsi="仿宋_GB2312" w:eastAsia="仿宋_GB2312" w:cs="仿宋_GB2312"/>
          <w:color w:val="auto"/>
          <w:sz w:val="32"/>
          <w:szCs w:val="32"/>
          <w:lang w:val="en-US" w:eastAsia="zh-CN"/>
        </w:rPr>
        <w:t>13235个，（其中，幼儿园2430个，义务教育9905个，普通高中900个），学前教育“5080</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成果得到巩固提升，九年义务教育巩固率达到96%以上，高中阶段教育毛入学率达到95%，全面消除中小学大班额。坚持学位扩容和质量提升并重，不断提高学校办学质量，到2035年，公办优质学位大幅增加，学校布局科学合理，有效解决“城镇挤”问题，中小学幼儿园办学水平明显提升，满足人民群众“上好学”需求。</w:t>
      </w:r>
    </w:p>
    <w:p>
      <w:pPr>
        <w:keepNext w:val="0"/>
        <w:keepLines w:val="0"/>
        <w:pageBreakBefore w:val="0"/>
        <w:widowControl w:val="0"/>
        <w:numPr>
          <w:ilvl w:val="0"/>
          <w:numId w:val="1"/>
        </w:numPr>
        <w:wordWrap w:val="0"/>
        <w:topLinePunct w:val="0"/>
        <w:autoSpaceDE/>
        <w:autoSpaceDN/>
        <w:bidi w:val="0"/>
        <w:spacing w:line="56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规划</w:t>
      </w:r>
      <w:r>
        <w:rPr>
          <w:rFonts w:hint="eastAsia" w:ascii="黑体" w:hAnsi="黑体" w:eastAsia="黑体" w:cs="黑体"/>
          <w:color w:val="auto"/>
          <w:sz w:val="32"/>
          <w:szCs w:val="32"/>
          <w:lang w:eastAsia="zh-CN"/>
        </w:rPr>
        <w:t>原则</w:t>
      </w:r>
    </w:p>
    <w:p>
      <w:pPr>
        <w:keepNext w:val="0"/>
        <w:keepLines w:val="0"/>
        <w:pageBreakBefore w:val="0"/>
        <w:widowControl w:val="0"/>
        <w:kinsoku/>
        <w:wordWrap w:val="0"/>
        <w:overflowPunct/>
        <w:topLinePunct w:val="0"/>
        <w:autoSpaceDE/>
        <w:autoSpaceDN/>
        <w:bidi w:val="0"/>
        <w:adjustRightInd w:val="0"/>
        <w:snapToGrid w:val="0"/>
        <w:spacing w:line="560" w:lineRule="exact"/>
        <w:ind w:right="0" w:righ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楷体_GB2312" w:hAnsi="楷体_GB2312" w:eastAsia="楷体_GB2312" w:cs="楷体_GB2312"/>
          <w:color w:val="auto"/>
          <w:sz w:val="32"/>
          <w:szCs w:val="32"/>
          <w:highlight w:val="none"/>
          <w:lang w:val="en-US" w:eastAsia="zh-CN"/>
        </w:rPr>
        <w:t>（一）精准测算。</w:t>
      </w:r>
      <w:r>
        <w:rPr>
          <w:rFonts w:hint="eastAsia" w:ascii="仿宋_GB2312" w:hAnsi="仿宋_GB2312" w:eastAsia="仿宋_GB2312" w:cs="仿宋_GB2312"/>
          <w:color w:val="auto"/>
          <w:sz w:val="32"/>
          <w:szCs w:val="32"/>
          <w:highlight w:val="none"/>
          <w:lang w:val="en-US" w:eastAsia="zh-CN"/>
        </w:rPr>
        <w:t>综合城镇化进程、常住人口规模、人口变</w:t>
      </w:r>
    </w:p>
    <w:p>
      <w:pPr>
        <w:keepNext w:val="0"/>
        <w:keepLines w:val="0"/>
        <w:pageBreakBefore w:val="0"/>
        <w:widowControl w:val="0"/>
        <w:kinsoku/>
        <w:wordWrap w:val="0"/>
        <w:overflowPunct/>
        <w:topLinePunct w:val="0"/>
        <w:autoSpaceDE/>
        <w:autoSpaceDN/>
        <w:bidi w:val="0"/>
        <w:adjustRightInd w:val="0"/>
        <w:snapToGrid w:val="0"/>
        <w:spacing w:line="560" w:lineRule="exact"/>
        <w:ind w:right="0" w:rightChars="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化趋势、消除大班额等因素，统筹考虑巩固学前教育“5080”成果、城乡义务教育一体化发展、保障进城务工人员随迁子女接受义务教育权利，以及高中阶段普职协调发展、新高考改革选课走班等增量需求，同时要充分考量本地事业编制总盘子、财政供养能力等现实条件，精准测算区域内各学段学位需求，为学位规划建设提供依据。</w:t>
      </w:r>
    </w:p>
    <w:p>
      <w:pPr>
        <w:keepNext w:val="0"/>
        <w:keepLines w:val="0"/>
        <w:pageBreakBefore w:val="0"/>
        <w:widowControl w:val="0"/>
        <w:kinsoku/>
        <w:wordWrap w:val="0"/>
        <w:overflowPunct/>
        <w:topLinePunct w:val="0"/>
        <w:autoSpaceDE/>
        <w:autoSpaceDN/>
        <w:bidi w:val="0"/>
        <w:adjustRightInd w:val="0"/>
        <w:snapToGrid w:val="0"/>
        <w:spacing w:line="560" w:lineRule="exact"/>
        <w:ind w:right="0" w:righ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楷体_GB2312" w:hAnsi="楷体_GB2312" w:eastAsia="楷体_GB2312" w:cs="楷体_GB2312"/>
          <w:color w:val="auto"/>
          <w:sz w:val="32"/>
          <w:szCs w:val="32"/>
          <w:highlight w:val="none"/>
          <w:lang w:val="en-US" w:eastAsia="zh-CN"/>
        </w:rPr>
        <w:t>（二）合理布局。</w:t>
      </w:r>
      <w:r>
        <w:rPr>
          <w:rFonts w:hint="eastAsia" w:ascii="仿宋_GB2312" w:hAnsi="仿宋_GB2312" w:eastAsia="仿宋_GB2312" w:cs="仿宋_GB2312"/>
          <w:color w:val="auto"/>
          <w:sz w:val="32"/>
          <w:szCs w:val="32"/>
          <w:highlight w:val="none"/>
          <w:lang w:val="en-US" w:eastAsia="zh-CN"/>
        </w:rPr>
        <w:t>严格执行《城市居住区规划设计规范》，落实城镇居住区幼儿园、小学、初中学校配套建设要求。新建住宅小区配套教育设施必须举办为公办中小学校、公办幼儿园或普惠性民办幼儿园，优先举办为公办幼儿园。以城镇住宅小区、城市发展新区、老城改造区、城乡结合部、外来人口聚集区、产业聚集区、商业区等学位紧缺地区为重点布局学校建设。合理确定新建居住区、旧改项目配套教育设施的服务半径，防止形成大校额学校。合理规划农村学校布局，重点加强乡镇寄宿制学校建设，保留并办好必要的教学点。每个乡镇（不含街道）建成一所以上义务教育寄宿制学校。每个乡镇建成一所以上规范化公办中心幼儿园，每个街道辖区内至少设置一所公办幼儿园。重点办好县域普通高中、乡村小规模学校和乡镇寄宿制学校，补齐教育领域短板。</w:t>
      </w:r>
    </w:p>
    <w:p>
      <w:pPr>
        <w:keepNext w:val="0"/>
        <w:keepLines w:val="0"/>
        <w:pageBreakBefore w:val="0"/>
        <w:widowControl w:val="0"/>
        <w:wordWrap w:val="0"/>
        <w:topLinePunct w:val="0"/>
        <w:autoSpaceDE/>
        <w:autoSpaceDN/>
        <w:bidi w:val="0"/>
        <w:spacing w:line="56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rPr>
        <w:t>三、规划</w:t>
      </w:r>
      <w:r>
        <w:rPr>
          <w:rFonts w:hint="eastAsia" w:ascii="黑体" w:hAnsi="黑体" w:eastAsia="黑体" w:cs="黑体"/>
          <w:color w:val="auto"/>
          <w:sz w:val="32"/>
          <w:szCs w:val="32"/>
          <w:lang w:eastAsia="zh-CN"/>
        </w:rPr>
        <w:t>依据</w:t>
      </w:r>
    </w:p>
    <w:p>
      <w:pPr>
        <w:keepNext w:val="0"/>
        <w:keepLines w:val="0"/>
        <w:pageBreakBefore w:val="0"/>
        <w:widowControl w:val="0"/>
        <w:wordWrap w:val="0"/>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根据公安、卫健部门提供的学龄人口数据，精准测算未来五年学位缺额，按照《广东省教育厅关于印发〈广东省义务教育标准化学校标准〉的通知》（粤教基函〔2013〕17号）建设标准“小学和初中不超过</w:t>
      </w:r>
      <w:r>
        <w:rPr>
          <w:rFonts w:hint="eastAsia" w:ascii="仿宋_GB2312" w:hAnsi="仿宋_GB2312" w:eastAsia="仿宋_GB2312" w:cs="仿宋_GB2312"/>
          <w:color w:val="auto"/>
          <w:sz w:val="32"/>
          <w:szCs w:val="32"/>
          <w:highlight w:val="none"/>
          <w:lang w:val="en-US" w:eastAsia="zh-CN"/>
        </w:rPr>
        <w:t>36班，小学班额不超45人，初中班额不超50人”规划学校建设；按照《广东省教育厅关于规范化城市幼儿园的办园标准（试行）》“办园规模以6-12个班为宜，一般不少于6个班、不超过15个班；小班25人；中班30人；大班35人；混合班30人。班额一般不超过标准5人。”规划幼儿园建设。</w:t>
      </w:r>
    </w:p>
    <w:p>
      <w:pPr>
        <w:keepNext w:val="0"/>
        <w:keepLines w:val="0"/>
        <w:pageBreakBefore w:val="0"/>
        <w:widowControl w:val="0"/>
        <w:numPr>
          <w:ilvl w:val="0"/>
          <w:numId w:val="2"/>
        </w:numPr>
        <w:wordWrap w:val="0"/>
        <w:topLinePunct w:val="0"/>
        <w:autoSpaceDE/>
        <w:autoSpaceDN/>
        <w:bidi w:val="0"/>
        <w:spacing w:line="560" w:lineRule="exact"/>
        <w:ind w:firstLine="640" w:firstLineChars="200"/>
        <w:textAlignment w:val="auto"/>
        <w:rPr>
          <w:rFonts w:hint="eastAsia" w:ascii="楷体_GB2312" w:hAnsi="楷体_GB2312" w:eastAsia="楷体_GB2312" w:cs="楷体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幼儿园</w:t>
      </w:r>
    </w:p>
    <w:p>
      <w:pPr>
        <w:keepNext w:val="0"/>
        <w:keepLines w:val="0"/>
        <w:pageBreakBefore w:val="0"/>
        <w:widowControl w:val="0"/>
        <w:numPr>
          <w:ilvl w:val="0"/>
          <w:numId w:val="0"/>
        </w:numPr>
        <w:tabs>
          <w:tab w:val="left" w:pos="784"/>
        </w:tabs>
        <w:wordWrap w:val="0"/>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1.县城区</w:t>
      </w:r>
    </w:p>
    <w:p>
      <w:pPr>
        <w:keepNext w:val="0"/>
        <w:keepLines w:val="0"/>
        <w:pageBreakBefore w:val="0"/>
        <w:widowControl w:val="0"/>
        <w:numPr>
          <w:ilvl w:val="0"/>
          <w:numId w:val="0"/>
        </w:numPr>
        <w:tabs>
          <w:tab w:val="left" w:pos="784"/>
        </w:tabs>
        <w:wordWrap w:val="0"/>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根据幼儿园现有在园幼儿数和0-3岁户籍人口数，考虑生育政策放宽因素，推算出到2025年，我县3-5岁幼儿数最低达到9000人。现在城区幼儿园在园幼儿占比55.2%，随着城镇化进程的推进，到2025年，城区幼儿园在园幼儿占比可能达65%，将达到5850人。根据《广东省教育厅关于实施学前教育“5080”攻坚行动切实落实2020年民生实事任务的通知》（粤教基函〔2020〕10号）规定：公办幼儿园在园幼儿占比达50%以上。县城区需要公办学位2925个，公办学位缺口2025个。根据县城住宅小区和场地实际，规划按15个班、450人和9个班、270人两种办园规模在县城区新建6所公办幼儿园，提供学位2160个，满足城区公办幼儿园学位需求。</w:t>
      </w:r>
    </w:p>
    <w:p>
      <w:pPr>
        <w:keepNext w:val="0"/>
        <w:keepLines w:val="0"/>
        <w:pageBreakBefore w:val="0"/>
        <w:widowControl w:val="0"/>
        <w:numPr>
          <w:ilvl w:val="0"/>
          <w:numId w:val="0"/>
        </w:numPr>
        <w:tabs>
          <w:tab w:val="left" w:pos="784"/>
        </w:tabs>
        <w:wordWrap w:val="0"/>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2.乡镇</w:t>
      </w:r>
    </w:p>
    <w:p>
      <w:pPr>
        <w:keepNext w:val="0"/>
        <w:keepLines w:val="0"/>
        <w:pageBreakBefore w:val="0"/>
        <w:widowControl w:val="0"/>
        <w:numPr>
          <w:ilvl w:val="0"/>
          <w:numId w:val="0"/>
        </w:numPr>
        <w:tabs>
          <w:tab w:val="left" w:pos="784"/>
        </w:tabs>
        <w:wordWrap w:val="0"/>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为进一步改善大布镇中心幼儿园的办学条件，提高办学水平， 决定择址新建大布镇中心幼儿园，按照规范化幼儿园的标准建设，建成后新增公办学位270个。</w:t>
      </w:r>
    </w:p>
    <w:p>
      <w:pPr>
        <w:keepNext w:val="0"/>
        <w:keepLines w:val="0"/>
        <w:pageBreakBefore w:val="0"/>
        <w:widowControl w:val="0"/>
        <w:wordWrap w:val="0"/>
        <w:topLinePunct w:val="0"/>
        <w:autoSpaceDE/>
        <w:autoSpaceDN/>
        <w:bidi w:val="0"/>
        <w:spacing w:line="560" w:lineRule="exact"/>
        <w:ind w:firstLine="640" w:firstLineChars="200"/>
        <w:textAlignment w:val="auto"/>
        <w:rPr>
          <w:rFonts w:hint="eastAsia" w:ascii="方正楷体简体" w:hAnsi="方正楷体简体" w:eastAsia="方正楷体简体" w:cs="方正楷体简体"/>
          <w:color w:val="auto"/>
          <w:sz w:val="32"/>
          <w:szCs w:val="32"/>
          <w:highlight w:val="none"/>
          <w:lang w:eastAsia="zh-CN"/>
        </w:rPr>
      </w:pPr>
      <w:r>
        <w:rPr>
          <w:rFonts w:hint="eastAsia" w:ascii="方正楷体简体" w:hAnsi="方正楷体简体" w:eastAsia="方正楷体简体" w:cs="方正楷体简体"/>
          <w:color w:val="auto"/>
          <w:sz w:val="32"/>
          <w:szCs w:val="32"/>
          <w:highlight w:val="none"/>
        </w:rPr>
        <w:t>（二）</w:t>
      </w:r>
      <w:r>
        <w:rPr>
          <w:rFonts w:hint="eastAsia" w:ascii="方正楷体简体" w:hAnsi="方正楷体简体" w:eastAsia="方正楷体简体" w:cs="方正楷体简体"/>
          <w:color w:val="auto"/>
          <w:sz w:val="32"/>
          <w:szCs w:val="32"/>
          <w:highlight w:val="none"/>
          <w:lang w:eastAsia="zh-CN"/>
        </w:rPr>
        <w:t>中小学</w:t>
      </w:r>
    </w:p>
    <w:p>
      <w:pPr>
        <w:keepNext w:val="0"/>
        <w:keepLines w:val="0"/>
        <w:pageBreakBefore w:val="0"/>
        <w:widowControl w:val="0"/>
        <w:wordWrap w:val="0"/>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1.普通高中</w:t>
      </w:r>
    </w:p>
    <w:p>
      <w:pPr>
        <w:keepNext w:val="0"/>
        <w:keepLines w:val="0"/>
        <w:pageBreakBefore w:val="0"/>
        <w:widowControl w:val="0"/>
        <w:tabs>
          <w:tab w:val="left" w:pos="784"/>
        </w:tabs>
        <w:wordWrap w:val="0"/>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rPr>
      </w:pPr>
      <w:r>
        <w:rPr>
          <w:rFonts w:hint="eastAsia" w:ascii="仿宋_GB2312" w:hAnsi="仿宋_GB2312" w:eastAsia="仿宋_GB2312" w:cs="仿宋_GB2312"/>
          <w:color w:val="auto"/>
          <w:sz w:val="32"/>
          <w:szCs w:val="32"/>
          <w:highlight w:val="none"/>
          <w:lang w:eastAsia="zh-CN"/>
        </w:rPr>
        <w:tab/>
      </w:r>
      <w:r>
        <w:rPr>
          <w:rFonts w:hint="eastAsia" w:ascii="仿宋_GB2312" w:hAnsi="仿宋_GB2312" w:eastAsia="仿宋_GB2312" w:cs="仿宋_GB2312"/>
          <w:color w:val="auto"/>
          <w:sz w:val="32"/>
          <w:szCs w:val="32"/>
          <w:highlight w:val="none"/>
          <w:lang w:val="en-US" w:eastAsia="zh-CN"/>
        </w:rPr>
        <w:t>根据现有小学、初中学生数，按照高中阶段毛入学率最低标准95%，推算出到2025年，我县高中阶段学生数最低达到7590人，按照普职比大体相当，推算出我县就读普通高中学生人数3795人，县高级中学学位最大容纳为3000人，学位缺额795个。规划新建一所完全中学，其中普通高中学位900个，满足普通高中学位需求。</w:t>
      </w:r>
    </w:p>
    <w:p>
      <w:pPr>
        <w:keepNext w:val="0"/>
        <w:keepLines w:val="0"/>
        <w:pageBreakBefore w:val="0"/>
        <w:widowControl w:val="0"/>
        <w:numPr>
          <w:ilvl w:val="0"/>
          <w:numId w:val="0"/>
        </w:numPr>
        <w:wordWrap w:val="0"/>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2.初中</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根据</w:t>
      </w:r>
      <w:r>
        <w:rPr>
          <w:rFonts w:hint="eastAsia" w:ascii="仿宋_GB2312" w:hAnsi="仿宋_GB2312" w:eastAsia="仿宋_GB2312" w:cs="仿宋_GB2312"/>
          <w:color w:val="auto"/>
          <w:sz w:val="32"/>
          <w:szCs w:val="32"/>
          <w:highlight w:val="none"/>
          <w:lang w:val="en-US" w:eastAsia="zh-CN"/>
        </w:rPr>
        <w:t>现有小学、初中学生数，推算出到2025年，我县初中学生数为10008人。2012年以来，随着城镇化进程加快，进城务工人员随迁子女人数增加，县城两所初中（乳源中学和民族实验学校）学生在全县初中学生的占比按平均每年1-2个百分比逐年提高，预计到2025年县城初中学生占比保底为64%，届时县城初中学生人数将达到10008*64%=6405。乳源中学和民族实验学校现有学位4000个，城区初中学位缺额2405个。规划新建完全中学初中学位1500个，扩建民族实验学校，新增初中学位500个，扩建侯公渡初级中学，新增初中学位750个，合计新增初中学位2750个，满足初中学位需求。</w:t>
      </w:r>
    </w:p>
    <w:p>
      <w:pPr>
        <w:keepNext w:val="0"/>
        <w:keepLines w:val="0"/>
        <w:pageBreakBefore w:val="0"/>
        <w:widowControl w:val="0"/>
        <w:numPr>
          <w:ilvl w:val="0"/>
          <w:numId w:val="0"/>
        </w:numPr>
        <w:wordWrap w:val="0"/>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3.小学</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lang w:eastAsia="zh-CN"/>
        </w:rPr>
        <w:t>县城区。</w:t>
      </w:r>
      <w:r>
        <w:rPr>
          <w:rFonts w:hint="eastAsia" w:ascii="仿宋_GB2312" w:hAnsi="仿宋_GB2312" w:eastAsia="仿宋_GB2312" w:cs="仿宋_GB2312"/>
          <w:color w:val="auto"/>
          <w:sz w:val="32"/>
          <w:szCs w:val="32"/>
          <w:highlight w:val="none"/>
          <w:lang w:eastAsia="zh-CN"/>
        </w:rPr>
        <w:t>根据公安、卫健部门提供的学龄人口数及现有小学学生数，推算出到</w:t>
      </w:r>
      <w:r>
        <w:rPr>
          <w:rFonts w:hint="eastAsia" w:ascii="仿宋_GB2312" w:hAnsi="仿宋_GB2312" w:eastAsia="仿宋_GB2312" w:cs="仿宋_GB2312"/>
          <w:color w:val="auto"/>
          <w:sz w:val="32"/>
          <w:szCs w:val="32"/>
          <w:highlight w:val="none"/>
          <w:lang w:val="en-US" w:eastAsia="zh-CN"/>
        </w:rPr>
        <w:t>2025年，我县小学学生数为22673人。2012年以来，随着城镇化进程加快，进城务工人员随迁子女人数增加，县城三所小学（县一小、金禧小学、八一小学）学生在全县小学生的占比按平均每年1-2个百分比逐年提高，预计到2025年县城小学学生占比保底为57%，届时县城小学学生人数将达到22673*57%=12923。县城三所小学现有人数为 9889人，按照义务教育优质均衡发展要求，每所小学规模不得超过2000人，规划新建东湖小学和两所城区小学， 基本满足城区小学学位需求。</w:t>
      </w:r>
    </w:p>
    <w:p>
      <w:pPr>
        <w:keepNext w:val="0"/>
        <w:keepLines w:val="0"/>
        <w:pageBreakBefore w:val="0"/>
        <w:widowControl w:val="0"/>
        <w:numPr>
          <w:ilvl w:val="0"/>
          <w:numId w:val="0"/>
        </w:numPr>
        <w:wordWrap w:val="0"/>
        <w:topLinePunct w:val="0"/>
        <w:autoSpaceDE/>
        <w:autoSpaceDN/>
        <w:bidi w:val="0"/>
        <w:spacing w:line="560" w:lineRule="exact"/>
        <w:ind w:firstLine="643"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（2）一六镇。</w:t>
      </w:r>
      <w:r>
        <w:rPr>
          <w:rFonts w:hint="eastAsia" w:ascii="仿宋_GB2312" w:hAnsi="仿宋_GB2312" w:eastAsia="仿宋_GB2312" w:cs="仿宋_GB2312"/>
          <w:color w:val="auto"/>
          <w:sz w:val="32"/>
          <w:szCs w:val="32"/>
          <w:highlight w:val="none"/>
          <w:lang w:val="en-US" w:eastAsia="zh-CN"/>
        </w:rPr>
        <w:t>根据公安部门提供的一六镇学龄人口数，到2025年全镇小学阶段适龄人口数为1631，一六镇中心小学学位1080个，未来学位缺额为551个。规划改扩建一六镇中心小学，新增小学学位540个，缓解一六镇中心小学学位压力。</w:t>
      </w:r>
    </w:p>
    <w:p>
      <w:pPr>
        <w:keepNext w:val="0"/>
        <w:keepLines w:val="0"/>
        <w:pageBreakBefore w:val="0"/>
        <w:widowControl w:val="0"/>
        <w:numPr>
          <w:ilvl w:val="0"/>
          <w:numId w:val="0"/>
        </w:numPr>
        <w:wordWrap w:val="0"/>
        <w:topLinePunct w:val="0"/>
        <w:autoSpaceDE/>
        <w:autoSpaceDN/>
        <w:bidi w:val="0"/>
        <w:spacing w:line="560" w:lineRule="exact"/>
        <w:ind w:firstLine="643"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（3）桂头镇。</w:t>
      </w:r>
      <w:r>
        <w:rPr>
          <w:rFonts w:hint="eastAsia" w:ascii="仿宋_GB2312" w:hAnsi="仿宋_GB2312" w:eastAsia="仿宋_GB2312" w:cs="仿宋_GB2312"/>
          <w:color w:val="auto"/>
          <w:sz w:val="32"/>
          <w:szCs w:val="32"/>
          <w:highlight w:val="none"/>
          <w:lang w:val="en-US" w:eastAsia="zh-CN"/>
        </w:rPr>
        <w:t>根据公安部门提供的桂头镇学龄人口数，到2025年全镇小学阶段适龄人口数为3533，全镇现有小学学生人数为2988人，未来学位缺额为545个。规划改扩建桂头镇杨溪教学点，作为桂头镇第二小学，新增小学学位990个，缓解桂头镇中心小学学位压力。</w:t>
      </w:r>
    </w:p>
    <w:p>
      <w:pPr>
        <w:keepNext w:val="0"/>
        <w:keepLines w:val="0"/>
        <w:pageBreakBefore w:val="0"/>
        <w:widowControl w:val="0"/>
        <w:numPr>
          <w:ilvl w:val="0"/>
          <w:numId w:val="0"/>
        </w:numPr>
        <w:wordWrap w:val="0"/>
        <w:topLinePunct w:val="0"/>
        <w:autoSpaceDE/>
        <w:autoSpaceDN/>
        <w:bidi w:val="0"/>
        <w:spacing w:line="560" w:lineRule="exact"/>
        <w:ind w:firstLine="643"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（4）游溪镇。</w:t>
      </w:r>
      <w:r>
        <w:rPr>
          <w:rFonts w:hint="eastAsia" w:ascii="仿宋_GB2312" w:hAnsi="仿宋_GB2312" w:eastAsia="仿宋_GB2312" w:cs="仿宋_GB2312"/>
          <w:color w:val="auto"/>
          <w:sz w:val="32"/>
          <w:szCs w:val="32"/>
          <w:highlight w:val="none"/>
          <w:lang w:val="en-US" w:eastAsia="zh-CN"/>
        </w:rPr>
        <w:t>根据公安部门提供的学龄人口数，到2025年游溪镇小学阶段适龄人口数为1227，游溪镇柳坑中心小学现有学位855个，未来学位缺额为372个。规划改扩建游溪镇柳坑中心小学，新增小学学位765个，满足游溪镇小学学位需求。</w:t>
      </w:r>
    </w:p>
    <w:p>
      <w:pPr>
        <w:keepNext w:val="0"/>
        <w:keepLines w:val="0"/>
        <w:pageBreakBefore w:val="0"/>
        <w:widowControl w:val="0"/>
        <w:numPr>
          <w:ilvl w:val="0"/>
          <w:numId w:val="0"/>
        </w:numPr>
        <w:wordWrap w:val="0"/>
        <w:topLinePunct w:val="0"/>
        <w:autoSpaceDE/>
        <w:autoSpaceDN/>
        <w:bidi w:val="0"/>
        <w:spacing w:line="560" w:lineRule="exact"/>
        <w:ind w:firstLine="640" w:firstLineChars="200"/>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四、规划期限</w:t>
      </w:r>
    </w:p>
    <w:p>
      <w:pPr>
        <w:keepNext w:val="0"/>
        <w:keepLines w:val="0"/>
        <w:pageBreakBefore w:val="0"/>
        <w:widowControl w:val="0"/>
        <w:numPr>
          <w:ilvl w:val="0"/>
          <w:numId w:val="0"/>
        </w:numPr>
        <w:wordWrap w:val="0"/>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本规划所列优质公办学位建设在202</w:t>
      </w:r>
      <w:r>
        <w:rPr>
          <w:rFonts w:hint="eastAsia" w:ascii="仿宋_GB2312" w:hAnsi="仿宋_GB2312" w:eastAsia="仿宋_GB2312" w:cs="仿宋_GB2312"/>
          <w:color w:val="auto"/>
          <w:sz w:val="32"/>
          <w:szCs w:val="32"/>
          <w:highlight w:val="none"/>
          <w:lang w:val="en-US" w:eastAsia="zh-CN"/>
        </w:rPr>
        <w:t>5</w:t>
      </w:r>
      <w:r>
        <w:rPr>
          <w:rFonts w:hint="default" w:ascii="仿宋_GB2312" w:hAnsi="仿宋_GB2312" w:eastAsia="仿宋_GB2312" w:cs="仿宋_GB2312"/>
          <w:color w:val="auto"/>
          <w:sz w:val="32"/>
          <w:szCs w:val="32"/>
          <w:highlight w:val="none"/>
          <w:lang w:val="en-US" w:eastAsia="zh-CN"/>
        </w:rPr>
        <w:t>年底前完成。</w:t>
      </w:r>
    </w:p>
    <w:p>
      <w:pPr>
        <w:keepNext w:val="0"/>
        <w:keepLines w:val="0"/>
        <w:pageBreakBefore w:val="0"/>
        <w:widowControl w:val="0"/>
        <w:numPr>
          <w:ilvl w:val="0"/>
          <w:numId w:val="0"/>
        </w:numPr>
        <w:wordWrap w:val="0"/>
        <w:topLinePunct w:val="0"/>
        <w:autoSpaceDE/>
        <w:autoSpaceDN/>
        <w:bidi w:val="0"/>
        <w:spacing w:line="560" w:lineRule="exact"/>
        <w:ind w:firstLine="640" w:firstLineChars="200"/>
        <w:textAlignment w:val="auto"/>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五、规划内容</w:t>
      </w:r>
    </w:p>
    <w:p>
      <w:pPr>
        <w:keepNext w:val="0"/>
        <w:keepLines w:val="0"/>
        <w:pageBreakBefore w:val="0"/>
        <w:widowControl w:val="0"/>
        <w:numPr>
          <w:ilvl w:val="0"/>
          <w:numId w:val="0"/>
        </w:numPr>
        <w:wordWrap w:val="0"/>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新建东湖小学，选址在乳城镇共和村委信德磁铁厂南侧，用地规模45782.59㎡，新建教学楼、综合楼、行政办公楼等及其他相关配套设施（值班室、配电房、运动场地、绿化、排水等），总建筑面积32000㎡，总投资18000万元，办学规模36个班，可容纳学生1620人，预计2024年8月完成。</w:t>
      </w:r>
    </w:p>
    <w:p>
      <w:pPr>
        <w:keepNext w:val="0"/>
        <w:keepLines w:val="0"/>
        <w:pageBreakBefore w:val="0"/>
        <w:widowControl w:val="0"/>
        <w:numPr>
          <w:ilvl w:val="0"/>
          <w:numId w:val="0"/>
        </w:numPr>
        <w:wordWrap w:val="0"/>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2.改扩建一六镇中心小学，用地规模16960㎡，新建1栋5层教学综合楼，总建筑面积5800㎡，总投资2500万元，办学规模36个班，可容纳学生1620人，新增学位540个，预计2022年8月完成。</w:t>
      </w:r>
    </w:p>
    <w:p>
      <w:pPr>
        <w:keepNext w:val="0"/>
        <w:keepLines w:val="0"/>
        <w:pageBreakBefore w:val="0"/>
        <w:widowControl w:val="0"/>
        <w:numPr>
          <w:ilvl w:val="0"/>
          <w:numId w:val="0"/>
        </w:numPr>
        <w:wordWrap w:val="0"/>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3.改扩建桂头镇杨溪教学点，用地规模10694㎡，新建一栋3层教学综合楼，总建筑面积3300㎡，总投资2500万元，办学规模24个班，可容纳学生1080人，新增学位990个，预计2022年8月完成。</w:t>
      </w:r>
    </w:p>
    <w:p>
      <w:pPr>
        <w:keepNext w:val="0"/>
        <w:keepLines w:val="0"/>
        <w:pageBreakBefore w:val="0"/>
        <w:widowControl w:val="0"/>
        <w:numPr>
          <w:ilvl w:val="0"/>
          <w:numId w:val="0"/>
        </w:numPr>
        <w:wordWrap w:val="0"/>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改扩建游溪镇柳坑中心小学，用地规模48220.44㎡，新建1栋5层教学综合楼，总建筑面积4500㎡，新建1个200m国家标准环型塑胶跑道运动场、排水系统等，总投资2500万元，办学规模36个班，可容纳学生1620人，新增学位765个，预计2024年12月完成。</w:t>
      </w:r>
    </w:p>
    <w:p>
      <w:pPr>
        <w:keepNext w:val="0"/>
        <w:keepLines w:val="0"/>
        <w:pageBreakBefore w:val="0"/>
        <w:widowControl w:val="0"/>
        <w:numPr>
          <w:ilvl w:val="0"/>
          <w:numId w:val="0"/>
        </w:numPr>
        <w:wordWrap w:val="0"/>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新建城区小学1，选址在乳城镇，用地规模40000㎡，新建教学楼、综合楼、行政办公楼等及其他相关配套设施（值班室、配电房、运动场地、绿化、排水等），总建筑面积30000㎡，总投资17000万元，办学规模36个班，可容纳学生1620人，预计2025年12月完成。</w:t>
      </w:r>
    </w:p>
    <w:p>
      <w:pPr>
        <w:keepNext w:val="0"/>
        <w:keepLines w:val="0"/>
        <w:pageBreakBefore w:val="0"/>
        <w:widowControl w:val="0"/>
        <w:numPr>
          <w:ilvl w:val="0"/>
          <w:numId w:val="0"/>
        </w:numPr>
        <w:wordWrap w:val="0"/>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新建城区小学2，选址在乳城镇，用地规模40000㎡，新建教学楼、综合楼、行政办公楼等及其他相关配套设施（值班室、配电房、运动场地、绿化、排水等），总建筑面积30000㎡，总投资17000万元，办学规模36个班，可容纳学生1620人，预计2025年12月完成。</w:t>
      </w:r>
    </w:p>
    <w:p>
      <w:pPr>
        <w:keepNext w:val="0"/>
        <w:keepLines w:val="0"/>
        <w:pageBreakBefore w:val="0"/>
        <w:widowControl w:val="0"/>
        <w:numPr>
          <w:ilvl w:val="0"/>
          <w:numId w:val="0"/>
        </w:numPr>
        <w:wordWrap w:val="0"/>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7.改扩建民族实验学校，用地规模85587.7㎡，新建一栋五层教学综合楼、篮球场，总建筑面积7500㎡，总投资2900万元，办学规模36个班，可容纳学生1800人，新增学位500个，预计2021年12月完成。</w:t>
      </w:r>
    </w:p>
    <w:p>
      <w:pPr>
        <w:keepNext w:val="0"/>
        <w:keepLines w:val="0"/>
        <w:pageBreakBefore w:val="0"/>
        <w:widowControl w:val="0"/>
        <w:numPr>
          <w:ilvl w:val="0"/>
          <w:numId w:val="0"/>
        </w:numPr>
        <w:wordWrap w:val="0"/>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8.改扩建侯公渡初级中学，用地规模35418.26㎡，新建一栋五层教学综合楼，总建筑面积2500㎡，总投资1500万元，办学规模36个班，可容纳学生1800人，新增学位750个，预计2024年12月完成。</w:t>
      </w:r>
    </w:p>
    <w:p>
      <w:pPr>
        <w:keepNext w:val="0"/>
        <w:keepLines w:val="0"/>
        <w:pageBreakBefore w:val="0"/>
        <w:widowControl w:val="0"/>
        <w:numPr>
          <w:ilvl w:val="0"/>
          <w:numId w:val="0"/>
        </w:numPr>
        <w:wordWrap w:val="0"/>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9.新建城区完全中学，选址在乳城镇，用地规模93750㎡，新建教学楼、综合楼、行政办公楼等及其他相关配套设施（值班室、配电房、运动场地、绿化、排水等），总建筑面积50000㎡，总投资35000万元，办学规模48个班（初中30个，高中18个），可容纳学生2400人（初中1500，高中900），预计2025年12月完成。</w:t>
      </w:r>
    </w:p>
    <w:p>
      <w:pPr>
        <w:keepNext w:val="0"/>
        <w:keepLines w:val="0"/>
        <w:pageBreakBefore w:val="0"/>
        <w:widowControl w:val="0"/>
        <w:numPr>
          <w:ilvl w:val="0"/>
          <w:numId w:val="0"/>
        </w:numPr>
        <w:wordWrap w:val="0"/>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10.择址新建大布镇中心幼儿园，选址在大布镇英明村委，用地规模10662.6㎡，新建1栋3层综合楼及其他相应的配套设施（值班室、配电房、运动场地、绿化、排水等），建筑面积2300㎡，总投资800万元，办学规模9个班，270个学位，预计2021年9月完成。</w:t>
      </w:r>
    </w:p>
    <w:p>
      <w:pPr>
        <w:keepNext w:val="0"/>
        <w:keepLines w:val="0"/>
        <w:pageBreakBefore w:val="0"/>
        <w:widowControl w:val="0"/>
        <w:numPr>
          <w:ilvl w:val="0"/>
          <w:numId w:val="0"/>
        </w:numPr>
        <w:wordWrap w:val="0"/>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11</w:t>
      </w:r>
      <w:r>
        <w:rPr>
          <w:rFonts w:hint="default" w:ascii="仿宋_GB2312" w:hAnsi="仿宋_GB2312" w:eastAsia="仿宋_GB2312" w:cs="仿宋_GB2312"/>
          <w:color w:val="auto"/>
          <w:sz w:val="32"/>
          <w:szCs w:val="32"/>
          <w:highlight w:val="none"/>
          <w:lang w:val="en-US" w:eastAsia="zh-CN"/>
        </w:rPr>
        <w:t>.新建东湖幼儿园，选址在乳源瑶族自治县乳城镇共和村委信德磁铁厂南侧地块，用地规模6682.74</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，新建1栋3层综合楼及其他相应的配套设施（值班室、配电房、运动场地、绿化、排水等）</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建筑面积7200</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，总投资3800万元，办学规模15个班，450个学位，预计在2022年8月完成。</w:t>
      </w:r>
    </w:p>
    <w:p>
      <w:pPr>
        <w:keepNext w:val="0"/>
        <w:keepLines w:val="0"/>
        <w:pageBreakBefore w:val="0"/>
        <w:widowControl w:val="0"/>
        <w:numPr>
          <w:ilvl w:val="0"/>
          <w:numId w:val="0"/>
        </w:numPr>
        <w:wordWrap w:val="0"/>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12</w:t>
      </w:r>
      <w:r>
        <w:rPr>
          <w:rFonts w:hint="default" w:ascii="仿宋_GB2312" w:hAnsi="仿宋_GB2312" w:eastAsia="仿宋_GB2312" w:cs="仿宋_GB2312"/>
          <w:color w:val="auto"/>
          <w:sz w:val="32"/>
          <w:szCs w:val="32"/>
          <w:highlight w:val="none"/>
          <w:lang w:val="en-US" w:eastAsia="zh-CN"/>
        </w:rPr>
        <w:t>.新建天井山小区幼儿园，选址在乳源瑶族自治县乳城镇北环西路天井山小区，用地规模3023.1</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购置原天井山林场职工办公楼并将其改建为幼儿园教学综合楼，</w:t>
      </w:r>
      <w:r>
        <w:rPr>
          <w:rFonts w:hint="default" w:ascii="仿宋_GB2312" w:hAnsi="仿宋_GB2312" w:eastAsia="仿宋_GB2312" w:cs="仿宋_GB2312"/>
          <w:color w:val="auto"/>
          <w:sz w:val="32"/>
          <w:szCs w:val="32"/>
          <w:highlight w:val="none"/>
          <w:lang w:val="en-US" w:eastAsia="zh-CN"/>
        </w:rPr>
        <w:t>建筑面积4328（室内2874、室外1454）</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，总投资1380万元，办学规模9个班，270个学位，预计在2022年8月完成。</w:t>
      </w:r>
    </w:p>
    <w:p>
      <w:pPr>
        <w:keepNext w:val="0"/>
        <w:keepLines w:val="0"/>
        <w:pageBreakBefore w:val="0"/>
        <w:widowControl w:val="0"/>
        <w:numPr>
          <w:ilvl w:val="0"/>
          <w:numId w:val="0"/>
        </w:numPr>
        <w:wordWrap w:val="0"/>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13</w:t>
      </w:r>
      <w:r>
        <w:rPr>
          <w:rFonts w:hint="default" w:ascii="仿宋_GB2312" w:hAnsi="仿宋_GB2312" w:eastAsia="仿宋_GB2312" w:cs="仿宋_GB2312"/>
          <w:color w:val="auto"/>
          <w:sz w:val="32"/>
          <w:szCs w:val="32"/>
          <w:highlight w:val="none"/>
          <w:lang w:val="en-US" w:eastAsia="zh-CN"/>
        </w:rPr>
        <w:t>.新建附城幼儿园，选址在乳源瑶族自治县乳城镇河南路原附城小学，用地规模6781.1</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，新建1栋3层综合楼及其他相应的配套设施（值班室、配电房、运动场地、绿化、排水等）</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建筑面积6375.67</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，总投资3800万元，办学规模15个班，450个学位，预计在2023年8月完成。</w:t>
      </w:r>
    </w:p>
    <w:p>
      <w:pPr>
        <w:keepNext w:val="0"/>
        <w:keepLines w:val="0"/>
        <w:pageBreakBefore w:val="0"/>
        <w:widowControl w:val="0"/>
        <w:numPr>
          <w:ilvl w:val="0"/>
          <w:numId w:val="0"/>
        </w:numPr>
        <w:wordWrap w:val="0"/>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14</w:t>
      </w:r>
      <w:r>
        <w:rPr>
          <w:rFonts w:hint="default" w:ascii="仿宋_GB2312" w:hAnsi="仿宋_GB2312" w:eastAsia="仿宋_GB2312" w:cs="仿宋_GB2312"/>
          <w:color w:val="auto"/>
          <w:sz w:val="32"/>
          <w:szCs w:val="32"/>
          <w:highlight w:val="none"/>
          <w:lang w:val="en-US" w:eastAsia="zh-CN"/>
        </w:rPr>
        <w:t>.新建碧桂园幼儿园，选址在乳源瑶族自治县乳城镇共和村委虞塘坑，用地规模5300</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，新建1栋3层综合楼及其他相应的配套设施（值班室、配电房、运动场地、绿化、排水等）</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建筑面积5000</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，总投资2600万元，办学规模9个班，270个学位，预计在202</w:t>
      </w:r>
      <w:r>
        <w:rPr>
          <w:rFonts w:hint="eastAsia" w:ascii="仿宋_GB2312" w:hAnsi="仿宋_GB2312" w:eastAsia="仿宋_GB2312" w:cs="仿宋_GB2312"/>
          <w:color w:val="auto"/>
          <w:sz w:val="32"/>
          <w:szCs w:val="32"/>
          <w:highlight w:val="none"/>
          <w:lang w:val="en-US" w:eastAsia="zh-CN"/>
        </w:rPr>
        <w:t>3</w:t>
      </w:r>
      <w:r>
        <w:rPr>
          <w:rFonts w:hint="default" w:ascii="仿宋_GB2312" w:hAnsi="仿宋_GB2312" w:eastAsia="仿宋_GB2312" w:cs="仿宋_GB2312"/>
          <w:color w:val="auto"/>
          <w:sz w:val="32"/>
          <w:szCs w:val="32"/>
          <w:highlight w:val="none"/>
          <w:lang w:val="en-US" w:eastAsia="zh-CN"/>
        </w:rPr>
        <w:t>年8月完成。</w:t>
      </w:r>
    </w:p>
    <w:p>
      <w:pPr>
        <w:keepNext w:val="0"/>
        <w:keepLines w:val="0"/>
        <w:pageBreakBefore w:val="0"/>
        <w:widowControl w:val="0"/>
        <w:numPr>
          <w:ilvl w:val="0"/>
          <w:numId w:val="0"/>
        </w:numPr>
        <w:wordWrap w:val="0"/>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15</w:t>
      </w:r>
      <w:r>
        <w:rPr>
          <w:rFonts w:hint="default" w:ascii="仿宋_GB2312" w:hAnsi="仿宋_GB2312" w:eastAsia="仿宋_GB2312" w:cs="仿宋_GB2312"/>
          <w:color w:val="auto"/>
          <w:sz w:val="32"/>
          <w:szCs w:val="32"/>
          <w:highlight w:val="none"/>
          <w:lang w:val="en-US" w:eastAsia="zh-CN"/>
        </w:rPr>
        <w:t>.新建城市花园幼儿园，选址在乳源瑶族自治县乳城镇城市花园，用地规模5300</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，新建1栋3层综合楼及其他相应的配套设施（值班室、配电房、运动场地、绿化、排水等）</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建筑面积5000</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，总投资2600万元，办学规模9个班，270个学位，预计在2024年8月完成。</w:t>
      </w:r>
    </w:p>
    <w:p>
      <w:pPr>
        <w:keepNext w:val="0"/>
        <w:keepLines w:val="0"/>
        <w:pageBreakBefore w:val="0"/>
        <w:widowControl w:val="0"/>
        <w:numPr>
          <w:ilvl w:val="0"/>
          <w:numId w:val="0"/>
        </w:numPr>
        <w:wordWrap w:val="0"/>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16</w:t>
      </w:r>
      <w:r>
        <w:rPr>
          <w:rFonts w:hint="default" w:ascii="仿宋_GB2312" w:hAnsi="仿宋_GB2312" w:eastAsia="仿宋_GB2312" w:cs="仿宋_GB2312"/>
          <w:color w:val="auto"/>
          <w:sz w:val="32"/>
          <w:szCs w:val="32"/>
          <w:highlight w:val="none"/>
          <w:lang w:val="en-US" w:eastAsia="zh-CN"/>
        </w:rPr>
        <w:t>.新建城区幼儿园，选址在乳源瑶族自治县乳城镇，用地规模7000</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，新建1栋3层综合楼及其他相应的配套设施（值班室、配电房、运动场地、绿化、排水等）</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建筑面积7200</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，总投资4000万元，办学规模15个班，450个学位，预计在202</w:t>
      </w:r>
      <w:r>
        <w:rPr>
          <w:rFonts w:hint="eastAsia" w:ascii="仿宋_GB2312" w:hAnsi="仿宋_GB2312" w:eastAsia="仿宋_GB2312" w:cs="仿宋_GB2312"/>
          <w:color w:val="auto"/>
          <w:sz w:val="32"/>
          <w:szCs w:val="32"/>
          <w:highlight w:val="none"/>
          <w:lang w:val="en-US" w:eastAsia="zh-CN"/>
        </w:rPr>
        <w:t>5</w:t>
      </w:r>
      <w:r>
        <w:rPr>
          <w:rFonts w:hint="default" w:ascii="仿宋_GB2312" w:hAnsi="仿宋_GB2312" w:eastAsia="仿宋_GB2312" w:cs="仿宋_GB2312"/>
          <w:color w:val="auto"/>
          <w:sz w:val="32"/>
          <w:szCs w:val="32"/>
          <w:highlight w:val="none"/>
          <w:lang w:val="en-US" w:eastAsia="zh-CN"/>
        </w:rPr>
        <w:t>年8月完成。</w:t>
      </w:r>
    </w:p>
    <w:p>
      <w:pPr>
        <w:keepNext w:val="0"/>
        <w:keepLines w:val="0"/>
        <w:pageBreakBefore w:val="0"/>
        <w:widowControl w:val="0"/>
        <w:wordWrap w:val="0"/>
        <w:topLinePunct w:val="0"/>
        <w:autoSpaceDE/>
        <w:autoSpaceDN/>
        <w:bidi w:val="0"/>
        <w:spacing w:line="560" w:lineRule="exact"/>
        <w:ind w:firstLine="960" w:firstLineChars="300"/>
        <w:textAlignment w:val="auto"/>
        <w:rPr>
          <w:rFonts w:ascii="黑体" w:hAnsi="黑体" w:eastAsia="黑体" w:cs="黑体"/>
          <w:color w:val="auto"/>
          <w:sz w:val="32"/>
          <w:szCs w:val="32"/>
        </w:rPr>
      </w:pPr>
      <w:r>
        <w:rPr>
          <w:rFonts w:hint="eastAsia" w:ascii="黑体" w:hAnsi="黑体" w:eastAsia="黑体" w:cs="黑体"/>
          <w:color w:val="auto"/>
          <w:sz w:val="32"/>
          <w:szCs w:val="32"/>
          <w:lang w:eastAsia="zh-CN"/>
        </w:rPr>
        <w:t>六</w:t>
      </w:r>
      <w:r>
        <w:rPr>
          <w:rFonts w:hint="eastAsia" w:ascii="黑体" w:hAnsi="黑体" w:eastAsia="黑体" w:cs="黑体"/>
          <w:color w:val="auto"/>
          <w:sz w:val="32"/>
          <w:szCs w:val="32"/>
        </w:rPr>
        <w:t>、保障措施</w:t>
      </w:r>
    </w:p>
    <w:p>
      <w:pPr>
        <w:keepNext w:val="0"/>
        <w:keepLines w:val="0"/>
        <w:pageBreakBefore w:val="0"/>
        <w:widowControl w:val="0"/>
        <w:wordWrap w:val="0"/>
        <w:topLinePunct w:val="0"/>
        <w:autoSpaceDE/>
        <w:autoSpaceDN/>
        <w:bidi w:val="0"/>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仿宋_GB2312" w:eastAsia="楷体_GB2312" w:cstheme="minorBidi"/>
          <w:b/>
          <w:bCs/>
          <w:color w:val="auto"/>
          <w:kern w:val="0"/>
          <w:sz w:val="32"/>
          <w:szCs w:val="32"/>
          <w:lang w:val="en-US" w:eastAsia="zh-CN" w:bidi="ar-SA"/>
        </w:rPr>
        <w:t>（一）压实各方责任。</w:t>
      </w:r>
      <w:r>
        <w:rPr>
          <w:rFonts w:hint="eastAsia" w:ascii="仿宋_GB2312" w:hAnsi="仿宋_GB2312" w:eastAsia="仿宋_GB2312" w:cs="仿宋_GB2312"/>
          <w:color w:val="auto"/>
          <w:sz w:val="32"/>
          <w:szCs w:val="32"/>
        </w:rPr>
        <w:t>要坚持基础教育公益性原则，深刻认识到办好基础教育是政府责任，充分认识到增加中小学幼儿园公办优质学位是提高人民群众教育获得感、幸福感的重要举措，</w:t>
      </w:r>
      <w:r>
        <w:rPr>
          <w:rFonts w:hint="eastAsia" w:ascii="仿宋_GB2312" w:hAnsi="仿宋_GB2312" w:eastAsia="仿宋_GB2312" w:cs="仿宋_GB2312"/>
          <w:color w:val="auto"/>
          <w:sz w:val="32"/>
          <w:szCs w:val="32"/>
          <w:lang w:eastAsia="zh-CN"/>
        </w:rPr>
        <w:t>县</w:t>
      </w:r>
      <w:r>
        <w:rPr>
          <w:rFonts w:hint="eastAsia" w:ascii="仿宋_GB2312" w:hAnsi="仿宋_GB2312" w:eastAsia="仿宋_GB2312" w:cs="仿宋_GB2312"/>
          <w:color w:val="auto"/>
          <w:sz w:val="32"/>
          <w:szCs w:val="32"/>
        </w:rPr>
        <w:t>教育局、发改局、财政局</w:t>
      </w:r>
      <w:r>
        <w:rPr>
          <w:rFonts w:hint="eastAsia" w:ascii="仿宋_GB2312" w:hAnsi="仿宋_GB2312" w:eastAsia="仿宋_GB2312" w:cs="仿宋_GB2312"/>
          <w:color w:val="auto"/>
          <w:sz w:val="32"/>
          <w:szCs w:val="32"/>
          <w:lang w:eastAsia="zh-CN"/>
        </w:rPr>
        <w:t>、自然资源局、住建局、县委编办</w:t>
      </w:r>
      <w:r>
        <w:rPr>
          <w:rFonts w:hint="eastAsia" w:ascii="仿宋_GB2312" w:hAnsi="仿宋_GB2312" w:eastAsia="仿宋_GB2312" w:cs="仿宋_GB2312"/>
          <w:color w:val="auto"/>
          <w:sz w:val="32"/>
          <w:szCs w:val="32"/>
        </w:rPr>
        <w:t>在县政府统一领导下切实</w:t>
      </w:r>
      <w:r>
        <w:rPr>
          <w:rFonts w:hint="eastAsia" w:ascii="仿宋_GB2312" w:hAnsi="仿宋_GB2312" w:eastAsia="仿宋_GB2312" w:cs="仿宋_GB2312"/>
          <w:color w:val="auto"/>
          <w:sz w:val="32"/>
          <w:szCs w:val="32"/>
          <w:lang w:eastAsia="zh-CN"/>
        </w:rPr>
        <w:t>履行部门职责</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强化部门联动，充分调动</w:t>
      </w:r>
      <w:r>
        <w:rPr>
          <w:rFonts w:hint="eastAsia" w:ascii="仿宋_GB2312" w:hAnsi="仿宋_GB2312" w:eastAsia="仿宋_GB2312" w:cs="仿宋_GB2312"/>
          <w:color w:val="auto"/>
          <w:sz w:val="32"/>
          <w:szCs w:val="32"/>
        </w:rPr>
        <w:t>土地、资金、教师编制等</w:t>
      </w:r>
      <w:r>
        <w:rPr>
          <w:rFonts w:hint="eastAsia" w:ascii="仿宋_GB2312" w:hAnsi="仿宋_GB2312" w:eastAsia="仿宋_GB2312" w:cs="仿宋_GB2312"/>
          <w:color w:val="auto"/>
          <w:sz w:val="32"/>
          <w:szCs w:val="32"/>
          <w:lang w:eastAsia="zh-CN"/>
        </w:rPr>
        <w:t>各方面</w:t>
      </w:r>
      <w:r>
        <w:rPr>
          <w:rFonts w:hint="eastAsia" w:ascii="仿宋_GB2312" w:hAnsi="仿宋_GB2312" w:eastAsia="仿宋_GB2312" w:cs="仿宋_GB2312"/>
          <w:color w:val="auto"/>
          <w:sz w:val="32"/>
          <w:szCs w:val="32"/>
        </w:rPr>
        <w:t>要素资源，下大气力完成学位建设任务。</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color w:val="auto"/>
          <w:sz w:val="32"/>
          <w:szCs w:val="32"/>
          <w:highlight w:val="none"/>
          <w:lang w:val="en-US" w:eastAsia="zh-CN"/>
        </w:rPr>
      </w:pPr>
      <w:r>
        <w:rPr>
          <w:rFonts w:hint="eastAsia" w:ascii="楷体_GB2312" w:hAnsi="楷体_GB2312" w:eastAsia="楷体_GB2312" w:cs="楷体_GB2312"/>
          <w:color w:val="auto"/>
          <w:sz w:val="32"/>
          <w:szCs w:val="32"/>
          <w:highlight w:val="none"/>
          <w:lang w:val="en-US" w:eastAsia="zh-CN"/>
        </w:rPr>
        <w:t>（二）强化要素支撑</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1.保障教育用地需求。</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在编制国土空间规划时要统筹考虑县教育局按要求整理报送的“十四五”期间拟新建、改扩建教育设施项目用地需求，在县委县政府的部署下，按照统一原则标准，对报送的项目进行遴选，并依法合规地在规划中给予落实。国土空间规划、控制性详细规划编制及修改时应按要求充分征求县教育局意见，在城市建设中同步考虑学校布局建设，按学位需求预留教育用地，不得随意变更教育用地规划。</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2.创新用地保障机制。</w:t>
      </w:r>
      <w:r>
        <w:rPr>
          <w:rFonts w:hint="eastAsia" w:ascii="仿宋_GB2312" w:hAnsi="仿宋_GB2312" w:eastAsia="仿宋_GB2312" w:cs="仿宋_GB2312"/>
          <w:color w:val="auto"/>
          <w:sz w:val="32"/>
          <w:szCs w:val="32"/>
          <w:highlight w:val="none"/>
          <w:lang w:val="en-US" w:eastAsia="zh-CN"/>
        </w:rPr>
        <w:t>建立公办学位供给与商住用地开发、城市更新的联动机制，按标准足额预留城镇新建住宅小区中小学幼儿园建设用地。没有按照规划要求预留教育设施用地的居住建设项目原则上不予核发建设工程规划许可证和施工许可证。对调高容积率的商品住宅项目应按人口增加比例调增配建学位数。探索实施差异化生均用地标准，适当提高部分城市核心区教育用地容积率、建筑密度等指标上限。</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3.强化多元经费保障。</w:t>
      </w:r>
      <w:r>
        <w:rPr>
          <w:rFonts w:hint="eastAsia" w:ascii="仿宋_GB2312" w:hAnsi="仿宋_GB2312" w:eastAsia="仿宋_GB2312" w:cs="仿宋_GB2312"/>
          <w:color w:val="auto"/>
          <w:sz w:val="32"/>
          <w:szCs w:val="32"/>
          <w:highlight w:val="none"/>
          <w:lang w:val="en-US" w:eastAsia="zh-CN"/>
        </w:rPr>
        <w:t>加大一般公共预算教育投入力度，落实“两个只增不减”要求，统筹落实基础教育公办学位建设所需资金。统筹各级各类教育经费，保障学校建设规划按进度实施。遵循集中安排、突出重点的原则，将省级基础教育高质量发展奖补资金优先安排用于公办中小学幼儿园建设。统筹使用地方政府新增债券、教育费附加、地方教育附加、土地出让收益、城市基础设施配套收入等支持符合条件的公办学位建设。鼓励通过设立教育基金会等多渠道筹措资金参与学校建设。根据《教育部 国家发展改革委 财政部关于深入推进义务教育薄弱环节改善与能力提升工作的意见》（教财〔2021〕3 号），将义务教育薄弱环节改善与能力提升资金优先补齐农村义务教育办学条件、用于扩大城镇学位供给和提升育人功能。</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4.足</w:t>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额配置教师资源。</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每年按照标准和要求动态核定基础教育教职工编制，通过“编制周转池”“县管校聘”等改革措施，提升县域内教职工编制配置使用效益。加强公办中小学临聘教师管理，按照有关规定统一标准、统一招聘、统筹调配临聘教师，所需人员经费由本级财政核拨，逐步实现</w:t>
      </w:r>
      <w:bookmarkStart w:id="0" w:name="_GoBack"/>
      <w:bookmarkEnd w:id="0"/>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临聘教师与公办教师同工同酬。推进完善学前教育机构编制保障体系并抓好落实。</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color w:val="auto"/>
          <w:sz w:val="32"/>
          <w:szCs w:val="32"/>
          <w:highlight w:val="none"/>
          <w:lang w:val="en-US" w:eastAsia="zh-CN"/>
        </w:rPr>
      </w:pPr>
      <w:r>
        <w:rPr>
          <w:rFonts w:hint="eastAsia" w:ascii="楷体_GB2312" w:hAnsi="楷体_GB2312" w:eastAsia="楷体_GB2312" w:cs="楷体_GB2312"/>
          <w:color w:val="auto"/>
          <w:sz w:val="32"/>
          <w:szCs w:val="32"/>
          <w:highlight w:val="none"/>
          <w:lang w:val="en-US" w:eastAsia="zh-CN"/>
        </w:rPr>
        <w:t>（三）创新供给机制</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1.优化项目报建手续。</w:t>
      </w:r>
      <w:r>
        <w:rPr>
          <w:rFonts w:hint="eastAsia" w:ascii="仿宋_GB2312" w:hAnsi="仿宋_GB2312" w:eastAsia="仿宋_GB2312" w:cs="仿宋_GB2312"/>
          <w:color w:val="auto"/>
          <w:sz w:val="32"/>
          <w:szCs w:val="32"/>
          <w:highlight w:val="none"/>
          <w:lang w:val="en-US" w:eastAsia="zh-CN"/>
        </w:rPr>
        <w:t>优化学位建设项目选址、征地报批流程，对列入年度建设计划的中小学幼儿园建设项目开辟“绿色通道”，提高审批效率，压缩办理时间。落实并联审批、“一网通办”、告知承诺制、联合审图、联合验收等改革措施，加快办理学校基本建设审批事项。对同批次规划建设的学校项目，支持以县为单位集中办理项目立项等审批手续。</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2.加快校舍建设进度。</w:t>
      </w:r>
      <w:r>
        <w:rPr>
          <w:rFonts w:hint="eastAsia" w:ascii="仿宋_GB2312" w:hAnsi="仿宋_GB2312" w:eastAsia="仿宋_GB2312" w:cs="仿宋_GB2312"/>
          <w:color w:val="auto"/>
          <w:sz w:val="32"/>
          <w:szCs w:val="32"/>
          <w:highlight w:val="none"/>
          <w:lang w:val="en-US" w:eastAsia="zh-CN"/>
        </w:rPr>
        <w:t>要根据《专项规划》，制定分年度实施方案和工作计划，建立工作台账，落实责任分工，强化项目建设进度管理，确保规划建设学校如期建成并交付使用。城镇居住</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区配套学校要与住宅项目建设同步规划、同步设计、同步建设、同步验收、同步交付使用。要加强项目工程质量监管，严格执行中小学校和幼儿园相关设计规范和建设标准，确保新建和改扩建的中小学幼儿园生均用地面积、生均校舍建筑面积、生均运动场地面积等各项指标达到规定要求。允许项目建设单位选择有利于加快建设的技术体系，因地制宜选择装配式建筑技术体系和项目管理模式。</w:t>
      </w:r>
    </w:p>
    <w:p>
      <w:pPr>
        <w:keepNext w:val="0"/>
        <w:keepLines w:val="0"/>
        <w:pageBreakBefore w:val="0"/>
        <w:widowControl w:val="0"/>
        <w:wordWrap w:val="0"/>
        <w:topLinePunct w:val="0"/>
        <w:autoSpaceDE/>
        <w:autoSpaceDN/>
        <w:bidi w:val="0"/>
        <w:spacing w:line="560" w:lineRule="exact"/>
        <w:ind w:firstLine="640" w:firstLineChars="200"/>
        <w:textAlignment w:val="auto"/>
        <w:rPr>
          <w:rFonts w:ascii="黑体" w:hAnsi="黑体" w:eastAsia="黑体" w:cs="黑体"/>
          <w:color w:val="auto"/>
          <w:sz w:val="32"/>
          <w:szCs w:val="32"/>
        </w:rPr>
      </w:pPr>
      <w:r>
        <w:rPr>
          <w:rFonts w:hint="eastAsia" w:ascii="黑体" w:hAnsi="黑体" w:eastAsia="黑体" w:cs="黑体"/>
          <w:color w:val="auto"/>
          <w:sz w:val="32"/>
          <w:szCs w:val="32"/>
          <w:lang w:eastAsia="zh-CN"/>
        </w:rPr>
        <w:t>七</w:t>
      </w:r>
      <w:r>
        <w:rPr>
          <w:rFonts w:hint="eastAsia" w:ascii="黑体" w:hAnsi="黑体" w:eastAsia="黑体" w:cs="黑体"/>
          <w:color w:val="auto"/>
          <w:sz w:val="32"/>
          <w:szCs w:val="32"/>
        </w:rPr>
        <w:t>、附表</w:t>
      </w:r>
    </w:p>
    <w:p>
      <w:pPr>
        <w:keepNext w:val="0"/>
        <w:keepLines w:val="0"/>
        <w:pageBreakBefore w:val="0"/>
        <w:widowControl w:val="0"/>
        <w:wordWrap w:val="0"/>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（一）</w:t>
      </w:r>
      <w:r>
        <w:rPr>
          <w:rFonts w:hint="eastAsia" w:ascii="仿宋_GB2312" w:hAnsi="仿宋_GB2312" w:eastAsia="仿宋_GB2312" w:cs="仿宋_GB2312"/>
          <w:color w:val="auto"/>
          <w:sz w:val="32"/>
          <w:szCs w:val="32"/>
          <w:lang w:eastAsia="zh-CN"/>
        </w:rPr>
        <w:t>乳源瑶族自治县中小学幼儿园公办学位“十四五”建设规划表</w:t>
      </w:r>
    </w:p>
    <w:p>
      <w:pPr>
        <w:keepNext w:val="0"/>
        <w:keepLines w:val="0"/>
        <w:pageBreakBefore w:val="0"/>
        <w:widowControl w:val="0"/>
        <w:wordWrap w:val="0"/>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（二）</w:t>
      </w:r>
      <w:r>
        <w:rPr>
          <w:rFonts w:hint="eastAsia" w:ascii="仿宋_GB2312" w:hAnsi="仿宋_GB2312" w:eastAsia="仿宋_GB2312" w:cs="仿宋_GB2312"/>
          <w:color w:val="auto"/>
          <w:sz w:val="32"/>
          <w:szCs w:val="32"/>
          <w:lang w:eastAsia="zh-CN"/>
        </w:rPr>
        <w:t>乳源瑶族自治县中小学幼儿园公办学位“十四五”分年度建设规划表</w:t>
      </w:r>
    </w:p>
    <w:p>
      <w:pPr>
        <w:keepNext w:val="0"/>
        <w:keepLines w:val="0"/>
        <w:pageBreakBefore w:val="0"/>
        <w:widowControl w:val="0"/>
        <w:wordWrap w:val="0"/>
        <w:topLinePunct w:val="0"/>
        <w:autoSpaceDE/>
        <w:autoSpaceDN/>
        <w:bidi w:val="0"/>
        <w:spacing w:line="560" w:lineRule="exact"/>
        <w:textAlignment w:val="auto"/>
        <w:rPr>
          <w:rFonts w:ascii="仿宋_GB2312" w:hAnsi="仿宋_GB2312" w:eastAsia="仿宋_GB2312" w:cs="仿宋_GB2312"/>
          <w:color w:val="auto"/>
          <w:sz w:val="32"/>
          <w:szCs w:val="32"/>
        </w:rPr>
      </w:pPr>
    </w:p>
    <w:p>
      <w:pPr>
        <w:keepNext w:val="0"/>
        <w:keepLines w:val="0"/>
        <w:pageBreakBefore w:val="0"/>
        <w:widowControl w:val="0"/>
        <w:wordWrap w:val="0"/>
        <w:topLinePunct w:val="0"/>
        <w:autoSpaceDE/>
        <w:autoSpaceDN/>
        <w:bidi w:val="0"/>
        <w:spacing w:line="560" w:lineRule="exact"/>
        <w:ind w:firstLine="4160" w:firstLineChars="1300"/>
        <w:textAlignment w:val="auto"/>
        <w:rPr>
          <w:rFonts w:hint="eastAsia" w:ascii="仿宋_GB2312" w:hAnsi="仿宋_GB2312" w:eastAsia="仿宋_GB2312" w:cs="仿宋_GB2312"/>
          <w:color w:val="auto"/>
          <w:sz w:val="32"/>
          <w:szCs w:val="32"/>
        </w:rPr>
      </w:pPr>
    </w:p>
    <w:p>
      <w:pPr>
        <w:keepNext w:val="0"/>
        <w:keepLines w:val="0"/>
        <w:pageBreakBefore w:val="0"/>
        <w:widowControl w:val="0"/>
        <w:wordWrap w:val="0"/>
        <w:topLinePunct w:val="0"/>
        <w:autoSpaceDE/>
        <w:autoSpaceDN/>
        <w:bidi w:val="0"/>
        <w:spacing w:line="560" w:lineRule="exact"/>
        <w:ind w:firstLine="4800" w:firstLineChars="15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乳源瑶族自治县</w:t>
      </w:r>
      <w:r>
        <w:rPr>
          <w:rFonts w:hint="eastAsia" w:ascii="仿宋_GB2312" w:hAnsi="仿宋_GB2312" w:eastAsia="仿宋_GB2312" w:cs="仿宋_GB2312"/>
          <w:color w:val="auto"/>
          <w:sz w:val="32"/>
          <w:szCs w:val="32"/>
          <w:lang w:eastAsia="zh-CN"/>
        </w:rPr>
        <w:t>教育局</w:t>
      </w:r>
    </w:p>
    <w:p>
      <w:pPr>
        <w:keepNext w:val="0"/>
        <w:keepLines w:val="0"/>
        <w:pageBreakBefore w:val="0"/>
        <w:widowControl w:val="0"/>
        <w:wordWrap w:val="0"/>
        <w:topLinePunct w:val="0"/>
        <w:autoSpaceDE/>
        <w:autoSpaceDN/>
        <w:bidi w:val="0"/>
        <w:spacing w:line="560" w:lineRule="exact"/>
        <w:ind w:firstLine="5120" w:firstLineChars="16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2021年10月</w:t>
      </w: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auto"/>
          <w:sz w:val="32"/>
          <w:szCs w:val="32"/>
        </w:rPr>
        <w:t>日</w:t>
      </w:r>
    </w:p>
    <w:p>
      <w:pPr>
        <w:keepNext w:val="0"/>
        <w:keepLines w:val="0"/>
        <w:pageBreakBefore w:val="0"/>
        <w:widowControl w:val="0"/>
        <w:wordWrap w:val="0"/>
        <w:topLinePunct w:val="0"/>
        <w:autoSpaceDE/>
        <w:autoSpaceDN/>
        <w:bidi w:val="0"/>
        <w:textAlignment w:val="auto"/>
        <w:rPr>
          <w:color w:val="auto"/>
        </w:rPr>
      </w:pP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楷体简体">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F3246E"/>
    <w:multiLevelType w:val="singleLevel"/>
    <w:tmpl w:val="42F3246E"/>
    <w:lvl w:ilvl="0" w:tentative="0">
      <w:start w:val="1"/>
      <w:numFmt w:val="chineseCounting"/>
      <w:suff w:val="nothing"/>
      <w:lvlText w:val="（%1）"/>
      <w:lvlJc w:val="left"/>
      <w:rPr>
        <w:rFonts w:hint="eastAsia"/>
      </w:rPr>
    </w:lvl>
  </w:abstractNum>
  <w:abstractNum w:abstractNumId="1">
    <w:nsid w:val="766DDABD"/>
    <w:multiLevelType w:val="singleLevel"/>
    <w:tmpl w:val="766DDABD"/>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2ZTU4YzAwODEzNzVhYjlmYTEzMzM0NTc2MWMxNmQifQ=="/>
  </w:docVars>
  <w:rsids>
    <w:rsidRoot w:val="11106F95"/>
    <w:rsid w:val="00053163"/>
    <w:rsid w:val="002319A6"/>
    <w:rsid w:val="003913FC"/>
    <w:rsid w:val="006763DB"/>
    <w:rsid w:val="00A21C7D"/>
    <w:rsid w:val="01A7144F"/>
    <w:rsid w:val="01B3068F"/>
    <w:rsid w:val="02385EAD"/>
    <w:rsid w:val="02EB4A1B"/>
    <w:rsid w:val="031914BF"/>
    <w:rsid w:val="03906FEA"/>
    <w:rsid w:val="03936CB9"/>
    <w:rsid w:val="04274E29"/>
    <w:rsid w:val="042A317A"/>
    <w:rsid w:val="0447636B"/>
    <w:rsid w:val="04570864"/>
    <w:rsid w:val="04BB1309"/>
    <w:rsid w:val="05C63FC6"/>
    <w:rsid w:val="05CC4A3F"/>
    <w:rsid w:val="05DB303D"/>
    <w:rsid w:val="061A3DF7"/>
    <w:rsid w:val="078A7F4F"/>
    <w:rsid w:val="07D7235F"/>
    <w:rsid w:val="07DF116D"/>
    <w:rsid w:val="088535F0"/>
    <w:rsid w:val="091639F6"/>
    <w:rsid w:val="0936194E"/>
    <w:rsid w:val="095841D7"/>
    <w:rsid w:val="0B454872"/>
    <w:rsid w:val="0BE56359"/>
    <w:rsid w:val="0D5D6AFA"/>
    <w:rsid w:val="0D687D2E"/>
    <w:rsid w:val="0D6A14AD"/>
    <w:rsid w:val="0E39581B"/>
    <w:rsid w:val="0EC64CF0"/>
    <w:rsid w:val="0F440D91"/>
    <w:rsid w:val="0F51775A"/>
    <w:rsid w:val="0FC66FC5"/>
    <w:rsid w:val="10F27DE3"/>
    <w:rsid w:val="10FA6F60"/>
    <w:rsid w:val="11106F95"/>
    <w:rsid w:val="1142346E"/>
    <w:rsid w:val="134A4EBA"/>
    <w:rsid w:val="134C1C46"/>
    <w:rsid w:val="149232E8"/>
    <w:rsid w:val="14A65E3F"/>
    <w:rsid w:val="14BB1A58"/>
    <w:rsid w:val="159E1647"/>
    <w:rsid w:val="16284A3D"/>
    <w:rsid w:val="16991BD1"/>
    <w:rsid w:val="173D4B25"/>
    <w:rsid w:val="17EA048A"/>
    <w:rsid w:val="186E7C5C"/>
    <w:rsid w:val="18C318A9"/>
    <w:rsid w:val="192024D8"/>
    <w:rsid w:val="19AA1910"/>
    <w:rsid w:val="19B01EA0"/>
    <w:rsid w:val="19DA3D83"/>
    <w:rsid w:val="1B8A02BA"/>
    <w:rsid w:val="1B8D7BAA"/>
    <w:rsid w:val="1B9F6B3C"/>
    <w:rsid w:val="1BC2266B"/>
    <w:rsid w:val="1D163FB8"/>
    <w:rsid w:val="1D506526"/>
    <w:rsid w:val="1E6E6792"/>
    <w:rsid w:val="1F6B0692"/>
    <w:rsid w:val="200C25A9"/>
    <w:rsid w:val="207A48D7"/>
    <w:rsid w:val="211B3EEA"/>
    <w:rsid w:val="21C43152"/>
    <w:rsid w:val="21E9384D"/>
    <w:rsid w:val="22C35EAF"/>
    <w:rsid w:val="2357380A"/>
    <w:rsid w:val="237A79E8"/>
    <w:rsid w:val="24C57DB1"/>
    <w:rsid w:val="25B55FB4"/>
    <w:rsid w:val="265A5965"/>
    <w:rsid w:val="26842225"/>
    <w:rsid w:val="26B72633"/>
    <w:rsid w:val="26C17B71"/>
    <w:rsid w:val="271E116B"/>
    <w:rsid w:val="27D6123B"/>
    <w:rsid w:val="27E3571D"/>
    <w:rsid w:val="28911E74"/>
    <w:rsid w:val="2901058F"/>
    <w:rsid w:val="29022655"/>
    <w:rsid w:val="293B27C6"/>
    <w:rsid w:val="297D16EE"/>
    <w:rsid w:val="2A0120C5"/>
    <w:rsid w:val="2A5B3EA5"/>
    <w:rsid w:val="2B85741E"/>
    <w:rsid w:val="2B9B1D8A"/>
    <w:rsid w:val="2BE7317C"/>
    <w:rsid w:val="2C173205"/>
    <w:rsid w:val="2C911AD6"/>
    <w:rsid w:val="2CD71115"/>
    <w:rsid w:val="2DC65C44"/>
    <w:rsid w:val="2DD96BBF"/>
    <w:rsid w:val="2DF05A09"/>
    <w:rsid w:val="2E7D2814"/>
    <w:rsid w:val="2EFC505B"/>
    <w:rsid w:val="2F135085"/>
    <w:rsid w:val="312F3DFE"/>
    <w:rsid w:val="315B3DB3"/>
    <w:rsid w:val="317103E7"/>
    <w:rsid w:val="32265720"/>
    <w:rsid w:val="33122EA7"/>
    <w:rsid w:val="351006CE"/>
    <w:rsid w:val="35A804C7"/>
    <w:rsid w:val="360A1F9F"/>
    <w:rsid w:val="36607A58"/>
    <w:rsid w:val="36B37226"/>
    <w:rsid w:val="36D24F37"/>
    <w:rsid w:val="36F6488E"/>
    <w:rsid w:val="38C17698"/>
    <w:rsid w:val="396E1865"/>
    <w:rsid w:val="3A2A5A53"/>
    <w:rsid w:val="3A542E22"/>
    <w:rsid w:val="3B0C6CD6"/>
    <w:rsid w:val="3B15138E"/>
    <w:rsid w:val="3B706E4D"/>
    <w:rsid w:val="3CAD04DA"/>
    <w:rsid w:val="3CFB45E2"/>
    <w:rsid w:val="3D386916"/>
    <w:rsid w:val="3D542C7E"/>
    <w:rsid w:val="3D6A58DF"/>
    <w:rsid w:val="3EB70DA6"/>
    <w:rsid w:val="3F804A47"/>
    <w:rsid w:val="3FA03514"/>
    <w:rsid w:val="400E0E9A"/>
    <w:rsid w:val="405622DD"/>
    <w:rsid w:val="409B19BC"/>
    <w:rsid w:val="40D84160"/>
    <w:rsid w:val="415948CB"/>
    <w:rsid w:val="416D0F9B"/>
    <w:rsid w:val="41E90046"/>
    <w:rsid w:val="421C289D"/>
    <w:rsid w:val="42DE7351"/>
    <w:rsid w:val="43AD6477"/>
    <w:rsid w:val="453E5D7D"/>
    <w:rsid w:val="45BE194E"/>
    <w:rsid w:val="4685391E"/>
    <w:rsid w:val="46A62CD1"/>
    <w:rsid w:val="46C25C18"/>
    <w:rsid w:val="47421EC8"/>
    <w:rsid w:val="475B1230"/>
    <w:rsid w:val="487A1C66"/>
    <w:rsid w:val="48B5008F"/>
    <w:rsid w:val="48C37ED2"/>
    <w:rsid w:val="48E34AF5"/>
    <w:rsid w:val="48EF062E"/>
    <w:rsid w:val="49AB2384"/>
    <w:rsid w:val="4A3D7217"/>
    <w:rsid w:val="4AA91A5A"/>
    <w:rsid w:val="4B422584"/>
    <w:rsid w:val="4BE13907"/>
    <w:rsid w:val="4C215AB1"/>
    <w:rsid w:val="4DD15C5F"/>
    <w:rsid w:val="4FFC2298"/>
    <w:rsid w:val="500D4CCA"/>
    <w:rsid w:val="516102BD"/>
    <w:rsid w:val="51984A67"/>
    <w:rsid w:val="52FB17FB"/>
    <w:rsid w:val="53AA62B1"/>
    <w:rsid w:val="556200CC"/>
    <w:rsid w:val="55A93305"/>
    <w:rsid w:val="562E51D2"/>
    <w:rsid w:val="56EC74CF"/>
    <w:rsid w:val="588B6461"/>
    <w:rsid w:val="58C64AC1"/>
    <w:rsid w:val="598536F4"/>
    <w:rsid w:val="59FB6583"/>
    <w:rsid w:val="5A7169BB"/>
    <w:rsid w:val="5A74158F"/>
    <w:rsid w:val="5A7D5B26"/>
    <w:rsid w:val="5AA61BA0"/>
    <w:rsid w:val="5AD314C3"/>
    <w:rsid w:val="5B755846"/>
    <w:rsid w:val="5BEE05B8"/>
    <w:rsid w:val="5C264684"/>
    <w:rsid w:val="5CA01738"/>
    <w:rsid w:val="5CC675D6"/>
    <w:rsid w:val="5EE509EA"/>
    <w:rsid w:val="610E32DE"/>
    <w:rsid w:val="615D45A4"/>
    <w:rsid w:val="6178468C"/>
    <w:rsid w:val="624632C7"/>
    <w:rsid w:val="62742684"/>
    <w:rsid w:val="634118EF"/>
    <w:rsid w:val="63877668"/>
    <w:rsid w:val="63B7355A"/>
    <w:rsid w:val="64A77044"/>
    <w:rsid w:val="64DE7757"/>
    <w:rsid w:val="6554084E"/>
    <w:rsid w:val="6597007D"/>
    <w:rsid w:val="666261C6"/>
    <w:rsid w:val="66E666F5"/>
    <w:rsid w:val="66FC2D6C"/>
    <w:rsid w:val="675D110C"/>
    <w:rsid w:val="67BA2551"/>
    <w:rsid w:val="68CF25CB"/>
    <w:rsid w:val="68FE1A22"/>
    <w:rsid w:val="691B7A6B"/>
    <w:rsid w:val="692E4024"/>
    <w:rsid w:val="69536138"/>
    <w:rsid w:val="695E5C4C"/>
    <w:rsid w:val="69CE5556"/>
    <w:rsid w:val="6B130DF3"/>
    <w:rsid w:val="6BFC2D32"/>
    <w:rsid w:val="6C393868"/>
    <w:rsid w:val="6D1A3AF6"/>
    <w:rsid w:val="6E7C2CC6"/>
    <w:rsid w:val="6F0A416A"/>
    <w:rsid w:val="6F2F6443"/>
    <w:rsid w:val="700E15EF"/>
    <w:rsid w:val="70C553E1"/>
    <w:rsid w:val="71002BE3"/>
    <w:rsid w:val="710B6357"/>
    <w:rsid w:val="713D55D4"/>
    <w:rsid w:val="713F07DD"/>
    <w:rsid w:val="716567B1"/>
    <w:rsid w:val="71864E52"/>
    <w:rsid w:val="72D1172F"/>
    <w:rsid w:val="73840550"/>
    <w:rsid w:val="73D004EA"/>
    <w:rsid w:val="74862286"/>
    <w:rsid w:val="753378B3"/>
    <w:rsid w:val="75465669"/>
    <w:rsid w:val="75906D9D"/>
    <w:rsid w:val="779F6867"/>
    <w:rsid w:val="77EC144A"/>
    <w:rsid w:val="7827641E"/>
    <w:rsid w:val="789E03D2"/>
    <w:rsid w:val="792775D6"/>
    <w:rsid w:val="79F3370F"/>
    <w:rsid w:val="7A2165F3"/>
    <w:rsid w:val="7A28645C"/>
    <w:rsid w:val="7B32731F"/>
    <w:rsid w:val="7D851DEF"/>
    <w:rsid w:val="7DB9277B"/>
    <w:rsid w:val="7E3A287F"/>
    <w:rsid w:val="7E707EBA"/>
    <w:rsid w:val="7FD63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ind w:left="120"/>
    </w:pPr>
    <w:rPr>
      <w:rFonts w:hint="eastAsia" w:ascii="仿宋_GB2312" w:hAnsi="仿宋_GB2312" w:eastAsia="仿宋_GB2312"/>
      <w:sz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toc 2"/>
    <w:basedOn w:val="1"/>
    <w:next w:val="1"/>
    <w:qFormat/>
    <w:uiPriority w:val="0"/>
    <w:pPr>
      <w:spacing w:before="100" w:beforeLines="0" w:beforeAutospacing="1" w:after="100" w:afterLines="0" w:afterAutospacing="1"/>
      <w:ind w:left="200" w:leftChars="200"/>
    </w:pPr>
    <w:rPr>
      <w:rFonts w:hint="default" w:ascii="Calibri" w:hAnsi="Calibri" w:eastAsia="宋体" w:cs="黑体"/>
      <w:szCs w:val="24"/>
    </w:rPr>
  </w:style>
  <w:style w:type="character" w:customStyle="1" w:styleId="8">
    <w:name w:val="页眉 Char"/>
    <w:basedOn w:val="7"/>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6636</Words>
  <Characters>7353</Characters>
  <Lines>18</Lines>
  <Paragraphs>5</Paragraphs>
  <TotalTime>0</TotalTime>
  <ScaleCrop>false</ScaleCrop>
  <LinksUpToDate>false</LinksUpToDate>
  <CharactersWithSpaces>7369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2021-10-21T01:05:00Z</dcterms:created>
  <dc:creator>醉心学术的猛男啊</dc:creator>
  <cp:lastModifiedBy>般若</cp:lastModifiedBy>
  <cp:lastPrinted>2021-10-25T02:42:00Z</cp:lastPrinted>
  <dcterms:modified xsi:type="dcterms:W3CDTF">2022-07-21T08:39:57Z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22FE89EF853F4450968B8A09E650DF33</vt:lpwstr>
  </property>
</Properties>
</file>