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680" w:lineRule="exact"/>
        <w:ind w:firstLine="0" w:firstLineChars="0"/>
        <w:jc w:val="center"/>
        <w:textAlignment w:val="auto"/>
        <w:outlineLvl w:val="9"/>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680" w:lineRule="exact"/>
        <w:ind w:firstLine="0" w:firstLineChars="0"/>
        <w:jc w:val="center"/>
        <w:textAlignment w:val="auto"/>
        <w:outlineLvl w:val="9"/>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乳源瑶族自治县</w:t>
      </w:r>
      <w:r>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t>推动基础教育</w:t>
      </w:r>
    </w:p>
    <w:p>
      <w:pPr>
        <w:keepNext w:val="0"/>
        <w:keepLines w:val="0"/>
        <w:pageBreakBefore w:val="0"/>
        <w:widowControl w:val="0"/>
        <w:kinsoku/>
        <w:wordWrap/>
        <w:overflowPunct/>
        <w:topLinePunct w:val="0"/>
        <w:autoSpaceDE/>
        <w:autoSpaceDN/>
        <w:bidi w:val="0"/>
        <w:adjustRightInd w:val="0"/>
        <w:snapToGrid w:val="0"/>
        <w:spacing w:line="680" w:lineRule="exact"/>
        <w:ind w:firstLine="0" w:firstLineChars="0"/>
        <w:jc w:val="center"/>
        <w:textAlignment w:val="auto"/>
        <w:outlineLvl w:val="9"/>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t>高质量发展实施方案</w:t>
      </w:r>
    </w:p>
    <w:p>
      <w:pPr>
        <w:keepNext w:val="0"/>
        <w:keepLines w:val="0"/>
        <w:pageBreakBefore w:val="0"/>
        <w:widowControl w:val="0"/>
        <w:kinsoku/>
        <w:wordWrap/>
        <w:overflowPunct/>
        <w:topLinePunct w:val="0"/>
        <w:autoSpaceDE/>
        <w:autoSpaceDN/>
        <w:bidi w:val="0"/>
        <w:adjustRightInd w:val="0"/>
        <w:snapToGrid w:val="0"/>
        <w:spacing w:line="680" w:lineRule="exact"/>
        <w:ind w:firstLine="640" w:firstLineChars="200"/>
        <w:jc w:val="center"/>
        <w:textAlignment w:val="auto"/>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（征求意见稿）</w:t>
      </w:r>
    </w:p>
    <w:p>
      <w:pPr>
        <w:keepNext w:val="0"/>
        <w:keepLines w:val="0"/>
        <w:pageBreakBefore w:val="0"/>
        <w:widowControl w:val="0"/>
        <w:kinsoku/>
        <w:wordWrap/>
        <w:overflowPunct/>
        <w:topLinePunct w:val="0"/>
        <w:autoSpaceDE/>
        <w:autoSpaceDN/>
        <w:bidi w:val="0"/>
        <w:spacing w:line="680" w:lineRule="exact"/>
        <w:textAlignment w:val="auto"/>
        <w:rPr>
          <w:rFonts w:hint="eastAsia"/>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为深入贯彻中央关于建设高质量教育体系的决策部署，全面落实《广东省人民政府关于印发广东省推动基础教育高质量发展行动方案的通知》（粤府〔2021〕55号）《韶关市推动基础教育高质量发展行动总体计划</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的有关工作要求，聚焦问题、补齐短板，推动我县基础教育高质量发展，结合我县教育工作实际，制定本实施方案。</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一、总体要求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坚持以习近平新时代中国特色社会主义思想为指导，从战略和全局高度认识基础教育高质量发展的重要性，聚焦校长教师队伍建设和公办优质学位供给，到2035年，解决我县基础教育发展不平衡不充分的问题，建成高质量基础教育体系，人民群众对基础教育的满意度明显提升，</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全县基础教育办学质量和综合实力明显提升。</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default"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二、工作任务</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（一）加强校长队伍建设。</w:t>
      </w:r>
      <w:r>
        <w:rPr>
          <w:rFonts w:hint="eastAsia" w:ascii="仿宋_GB2312" w:hAnsi="仿宋_GB2312" w:eastAsia="仿宋_GB2312" w:cs="仿宋_GB2312"/>
          <w:color w:val="000000" w:themeColor="text1"/>
          <w:sz w:val="32"/>
          <w:szCs w:val="32"/>
          <w:highlight w:val="none"/>
          <w14:textFill>
            <w14:solidFill>
              <w14:schemeClr w14:val="tx1"/>
            </w14:solidFill>
          </w14:textFill>
        </w:rPr>
        <w:t>打造一支</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热爱教育事业、</w:t>
      </w:r>
      <w:r>
        <w:rPr>
          <w:rFonts w:hint="eastAsia" w:ascii="仿宋_GB2312" w:hAnsi="仿宋_GB2312" w:eastAsia="仿宋_GB2312" w:cs="仿宋_GB2312"/>
          <w:color w:val="000000" w:themeColor="text1"/>
          <w:sz w:val="32"/>
          <w:szCs w:val="32"/>
          <w:highlight w:val="none"/>
          <w14:textFill>
            <w14:solidFill>
              <w14:schemeClr w14:val="tx1"/>
            </w14:solidFill>
          </w14:textFill>
        </w:rPr>
        <w:t>政治</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过硬</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品德高尚、公正廉洁、</w:t>
      </w:r>
      <w:r>
        <w:rPr>
          <w:rFonts w:hint="eastAsia" w:ascii="仿宋_GB2312" w:hAnsi="仿宋_GB2312" w:eastAsia="仿宋_GB2312" w:cs="仿宋_GB2312"/>
          <w:color w:val="000000" w:themeColor="text1"/>
          <w:sz w:val="32"/>
          <w:szCs w:val="32"/>
          <w:highlight w:val="none"/>
          <w14:textFill>
            <w14:solidFill>
              <w14:schemeClr w14:val="tx1"/>
            </w14:solidFill>
          </w14:textFill>
        </w:rPr>
        <w:t>具有现代教育理念和开拓创新精神</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业务精湛、善于管理</w:t>
      </w:r>
      <w:r>
        <w:rPr>
          <w:rFonts w:hint="eastAsia" w:ascii="仿宋_GB2312" w:hAnsi="仿宋_GB2312" w:eastAsia="仿宋_GB2312" w:cs="仿宋_GB2312"/>
          <w:color w:val="000000" w:themeColor="text1"/>
          <w:sz w:val="32"/>
          <w:szCs w:val="32"/>
          <w:highlight w:val="none"/>
          <w14:textFill>
            <w14:solidFill>
              <w14:schemeClr w14:val="tx1"/>
            </w14:solidFill>
          </w14:textFill>
        </w:rPr>
        <w:t>的高素质、专业化</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专家型</w:t>
      </w:r>
      <w:r>
        <w:rPr>
          <w:rFonts w:hint="eastAsia" w:ascii="仿宋_GB2312" w:hAnsi="仿宋_GB2312" w:eastAsia="仿宋_GB2312" w:cs="仿宋_GB2312"/>
          <w:color w:val="000000" w:themeColor="text1"/>
          <w:sz w:val="32"/>
          <w:szCs w:val="32"/>
          <w:highlight w:val="none"/>
          <w14:textFill>
            <w14:solidFill>
              <w14:schemeClr w14:val="tx1"/>
            </w14:solidFill>
          </w14:textFill>
        </w:rPr>
        <w:t>的校长队伍，</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引领</w:t>
      </w:r>
      <w:r>
        <w:rPr>
          <w:rFonts w:hint="eastAsia" w:ascii="仿宋_GB2312" w:hAnsi="仿宋_GB2312" w:eastAsia="仿宋_GB2312" w:cs="仿宋_GB2312"/>
          <w:color w:val="000000" w:themeColor="text1"/>
          <w:sz w:val="32"/>
          <w:szCs w:val="32"/>
          <w:highlight w:val="none"/>
          <w14:textFill>
            <w14:solidFill>
              <w14:schemeClr w14:val="tx1"/>
            </w14:solidFill>
          </w14:textFill>
        </w:rPr>
        <w:t>我</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县</w:t>
      </w:r>
      <w:r>
        <w:rPr>
          <w:rFonts w:hint="eastAsia" w:ascii="仿宋_GB2312" w:hAnsi="仿宋_GB2312" w:eastAsia="仿宋_GB2312" w:cs="仿宋_GB2312"/>
          <w:color w:val="000000" w:themeColor="text1"/>
          <w:sz w:val="32"/>
          <w:szCs w:val="32"/>
          <w:highlight w:val="none"/>
          <w14:textFill>
            <w14:solidFill>
              <w14:schemeClr w14:val="tx1"/>
            </w14:solidFill>
          </w14:textFill>
        </w:rPr>
        <w:t>基础</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教育</w:t>
      </w:r>
      <w:r>
        <w:rPr>
          <w:rFonts w:hint="eastAsia" w:ascii="仿宋_GB2312" w:hAnsi="仿宋_GB2312" w:eastAsia="仿宋_GB2312" w:cs="仿宋_GB2312"/>
          <w:color w:val="000000" w:themeColor="text1"/>
          <w:sz w:val="32"/>
          <w:szCs w:val="32"/>
          <w:highlight w:val="none"/>
          <w14:textFill>
            <w14:solidFill>
              <w14:schemeClr w14:val="tx1"/>
            </w14:solidFill>
          </w14:textFill>
        </w:rPr>
        <w:t>高质量发展</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FF000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（二）加强教师队伍建设。</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实施</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“新强师工程”和对口帮扶，利用好省、市向原中央苏区、革命老区、民族地区倾斜政策，重点加强教师队伍建设</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到2025年，全县中小学（含幼儿园，下同）教师队伍能力素质显著提升；到2030年，全县中小学教师队伍能力素质与珠三角地区差距明显缩小；到2035年全县中小学教师队伍整体水平与珠三角地区大体相当。</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color w:val="FF0000"/>
          <w:sz w:val="32"/>
          <w:szCs w:val="32"/>
          <w:lang w:val="en-US" w:eastAsia="zh-CN"/>
        </w:rPr>
      </w:pP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（三）增加公办优质学位供给。</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加强统筹协调，增加政策供给，优化资源配置，利用好省、市向原中央苏区、革命老区、民族地区倾斜政策，重点推进城镇公办优质中小学幼儿园学位建设。到2025年全县基础教育新增优质公办学位13235个，其中幼儿园公办学位2430个，义务教育公办学位9905个，普通高中公办学位900个；到2030年，学校布局更加合理、有效解决“城镇挤”问题；到2035年，公办优质学位大幅增加，满足人民群众“上好学”需求。</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二、工作措施</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楷体_GB2312" w:hAnsi="楷体_GB2312" w:eastAsia="楷体_GB2312" w:cs="楷体_GB2312"/>
          <w:b w:val="0"/>
          <w:bCs w:val="0"/>
          <w:i w:val="0"/>
          <w:iCs w:val="0"/>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val="0"/>
          <w:bCs w:val="0"/>
          <w:i w:val="0"/>
          <w:iCs w:val="0"/>
          <w:color w:val="000000" w:themeColor="text1"/>
          <w:sz w:val="32"/>
          <w:szCs w:val="32"/>
          <w:lang w:val="en-US" w:eastAsia="zh-CN"/>
          <w14:textFill>
            <w14:solidFill>
              <w14:schemeClr w14:val="tx1"/>
            </w14:solidFill>
          </w14:textFill>
        </w:rPr>
        <w:t>（一）加强党对教育工作的全面领导</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default" w:ascii="楷体_GB2312" w:hAnsi="楷体_GB2312" w:eastAsia="仿宋_GB2312" w:cs="楷体_GB2312"/>
          <w:b w:val="0"/>
          <w:bCs w:val="0"/>
          <w:i w:val="0"/>
          <w:iCs w:val="0"/>
          <w:color w:val="FF0000"/>
          <w:sz w:val="32"/>
          <w:szCs w:val="32"/>
          <w:lang w:val="en-US" w:eastAsia="zh-CN"/>
        </w:rPr>
      </w:pPr>
      <w:r>
        <w:rPr>
          <w:rStyle w:val="7"/>
          <w:rFonts w:hint="eastAsia" w:ascii="仿宋_GB2312" w:hAnsi="仿宋_GB2312" w:eastAsia="仿宋_GB2312" w:cs="仿宋_GB2312"/>
          <w:color w:val="000000" w:themeColor="text1"/>
          <w:kern w:val="32"/>
          <w:sz w:val="32"/>
          <w:szCs w:val="32"/>
          <w:lang w:val="en-US" w:eastAsia="zh-CN"/>
          <w14:textFill>
            <w14:solidFill>
              <w14:schemeClr w14:val="tx1"/>
            </w14:solidFill>
          </w14:textFill>
        </w:rPr>
        <w:t>充分发挥</w:t>
      </w:r>
      <w:r>
        <w:rPr>
          <w:rStyle w:val="7"/>
          <w:rFonts w:hint="eastAsia" w:ascii="仿宋_GB2312" w:hAnsi="仿宋_GB2312" w:eastAsia="仿宋_GB2312" w:cs="仿宋_GB2312"/>
          <w:color w:val="000000" w:themeColor="text1"/>
          <w:kern w:val="32"/>
          <w:sz w:val="32"/>
          <w:szCs w:val="32"/>
          <w14:textFill>
            <w14:solidFill>
              <w14:schemeClr w14:val="tx1"/>
            </w14:solidFill>
          </w14:textFill>
        </w:rPr>
        <w:t>县党委</w:t>
      </w:r>
      <w:r>
        <w:rPr>
          <w:rStyle w:val="7"/>
          <w:rFonts w:hint="eastAsia" w:ascii="仿宋_GB2312" w:hAnsi="仿宋_GB2312" w:eastAsia="仿宋_GB2312" w:cs="仿宋_GB2312"/>
          <w:color w:val="000000" w:themeColor="text1"/>
          <w:kern w:val="32"/>
          <w:sz w:val="32"/>
          <w:szCs w:val="32"/>
          <w:lang w:val="en-US" w:eastAsia="zh-CN"/>
          <w14:textFill>
            <w14:solidFill>
              <w14:schemeClr w14:val="tx1"/>
            </w14:solidFill>
          </w14:textFill>
        </w:rPr>
        <w:t>总览全局、协调各方的根本保证作用，</w:t>
      </w:r>
      <w:r>
        <w:rPr>
          <w:rStyle w:val="7"/>
          <w:rFonts w:hint="eastAsia" w:ascii="仿宋_GB2312" w:hAnsi="仿宋_GB2312" w:eastAsia="仿宋_GB2312" w:cs="仿宋_GB2312"/>
          <w:color w:val="000000" w:themeColor="text1"/>
          <w:kern w:val="32"/>
          <w:sz w:val="32"/>
          <w:szCs w:val="32"/>
          <w14:textFill>
            <w14:solidFill>
              <w14:schemeClr w14:val="tx1"/>
            </w14:solidFill>
          </w14:textFill>
        </w:rPr>
        <w:t>把办好教育作为重中之重的头等大事来抓，</w:t>
      </w:r>
      <w:r>
        <w:rPr>
          <w:rStyle w:val="7"/>
          <w:rFonts w:hint="eastAsia" w:ascii="仿宋_GB2312" w:hAnsi="仿宋_GB2312" w:eastAsia="仿宋_GB2312" w:cs="仿宋_GB2312"/>
          <w:color w:val="000000" w:themeColor="text1"/>
          <w:kern w:val="32"/>
          <w:sz w:val="32"/>
          <w:szCs w:val="32"/>
          <w:lang w:val="en-US" w:eastAsia="zh-CN"/>
          <w14:textFill>
            <w14:solidFill>
              <w14:schemeClr w14:val="tx1"/>
            </w14:solidFill>
          </w14:textFill>
        </w:rPr>
        <w:t>切实</w:t>
      </w:r>
      <w:r>
        <w:rPr>
          <w:rStyle w:val="7"/>
          <w:rFonts w:hint="eastAsia" w:ascii="仿宋_GB2312" w:hAnsi="仿宋_GB2312" w:eastAsia="仿宋_GB2312" w:cs="仿宋_GB2312"/>
          <w:color w:val="000000" w:themeColor="text1"/>
          <w:kern w:val="32"/>
          <w:sz w:val="32"/>
          <w:szCs w:val="32"/>
          <w14:textFill>
            <w14:solidFill>
              <w14:schemeClr w14:val="tx1"/>
            </w14:solidFill>
          </w14:textFill>
        </w:rPr>
        <w:t>加强党的领导，</w:t>
      </w:r>
      <w:r>
        <w:rPr>
          <w:rStyle w:val="7"/>
          <w:rFonts w:hint="eastAsia" w:ascii="仿宋_GB2312" w:hAnsi="仿宋_GB2312" w:eastAsia="仿宋_GB2312" w:cs="仿宋_GB2312"/>
          <w:color w:val="000000" w:themeColor="text1"/>
          <w:kern w:val="32"/>
          <w:sz w:val="32"/>
          <w:szCs w:val="32"/>
          <w:lang w:val="en-US" w:eastAsia="zh-CN"/>
          <w14:textFill>
            <w14:solidFill>
              <w14:schemeClr w14:val="tx1"/>
            </w14:solidFill>
          </w14:textFill>
        </w:rPr>
        <w:t>掌握教育领域意识形态工作领导权，</w:t>
      </w:r>
      <w:r>
        <w:rPr>
          <w:rStyle w:val="7"/>
          <w:rFonts w:hint="eastAsia" w:ascii="仿宋_GB2312" w:hAnsi="仿宋_GB2312" w:eastAsia="仿宋_GB2312" w:cs="仿宋_GB2312"/>
          <w:color w:val="000000" w:themeColor="text1"/>
          <w:kern w:val="32"/>
          <w:sz w:val="32"/>
          <w:szCs w:val="32"/>
          <w14:textFill>
            <w14:solidFill>
              <w14:schemeClr w14:val="tx1"/>
            </w14:solidFill>
          </w14:textFill>
        </w:rPr>
        <w:t>全面贯彻党的教育方针</w:t>
      </w:r>
      <w:r>
        <w:rPr>
          <w:rStyle w:val="7"/>
          <w:rFonts w:hint="eastAsia" w:ascii="仿宋_GB2312" w:hAnsi="仿宋_GB2312" w:eastAsia="仿宋_GB2312" w:cs="仿宋_GB2312"/>
          <w:color w:val="000000" w:themeColor="text1"/>
          <w:kern w:val="32"/>
          <w:sz w:val="32"/>
          <w:szCs w:val="32"/>
          <w:lang w:eastAsia="zh-CN"/>
          <w14:textFill>
            <w14:solidFill>
              <w14:schemeClr w14:val="tx1"/>
            </w14:solidFill>
          </w14:textFill>
        </w:rPr>
        <w:t>，</w:t>
      </w:r>
      <w:r>
        <w:rPr>
          <w:rStyle w:val="7"/>
          <w:rFonts w:hint="eastAsia" w:ascii="仿宋_GB2312" w:hAnsi="仿宋_GB2312" w:eastAsia="仿宋_GB2312" w:cs="仿宋_GB2312"/>
          <w:color w:val="000000" w:themeColor="text1"/>
          <w:kern w:val="32"/>
          <w:sz w:val="32"/>
          <w:szCs w:val="32"/>
          <w:lang w:val="en-US" w:eastAsia="zh-CN"/>
          <w14:textFill>
            <w14:solidFill>
              <w14:schemeClr w14:val="tx1"/>
            </w14:solidFill>
          </w14:textFill>
        </w:rPr>
        <w:t>协调动员各方力量共同推进基础教育高质量发展。要强化战略思维、前瞻思维、创新思维、辩证思维、法治思维、底线思维，密切关注经济社会发展和人民需求变化。</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成立由县委书记担任组长的教育工作领导小组，定期专题研究基础教育高质量发展工作，解决重点难点问题，</w:t>
      </w:r>
      <w:r>
        <w:rPr>
          <w:rStyle w:val="7"/>
          <w:rFonts w:hint="eastAsia" w:ascii="仿宋_GB2312" w:hAnsi="仿宋_GB2312" w:eastAsia="仿宋_GB2312" w:cs="仿宋_GB2312"/>
          <w:color w:val="000000" w:themeColor="text1"/>
          <w:kern w:val="32"/>
          <w:sz w:val="32"/>
          <w:szCs w:val="32"/>
          <w:lang w:val="en-US" w:eastAsia="zh-CN"/>
          <w14:textFill>
            <w14:solidFill>
              <w14:schemeClr w14:val="tx1"/>
            </w14:solidFill>
          </w14:textFill>
        </w:rPr>
        <w:t>为加快推动基础教育高质量发展排忧解难。</w:t>
      </w:r>
      <w:r>
        <w:rPr>
          <w:rStyle w:val="7"/>
          <w:rFonts w:hint="eastAsia" w:ascii="仿宋_GB2312" w:hAnsi="仿宋_GB2312" w:eastAsia="仿宋_GB2312" w:cs="仿宋_GB2312"/>
          <w:color w:val="000000" w:themeColor="text1"/>
          <w:kern w:val="32"/>
          <w:sz w:val="32"/>
          <w:szCs w:val="32"/>
          <w14:textFill>
            <w14:solidFill>
              <w14:schemeClr w14:val="tx1"/>
            </w14:solidFill>
          </w14:textFill>
        </w:rPr>
        <w:t>党委主要领导</w:t>
      </w:r>
      <w:r>
        <w:rPr>
          <w:rStyle w:val="7"/>
          <w:rFonts w:hint="eastAsia" w:ascii="仿宋_GB2312" w:hAnsi="仿宋_GB2312" w:eastAsia="仿宋_GB2312" w:cs="仿宋_GB2312"/>
          <w:color w:val="000000" w:themeColor="text1"/>
          <w:kern w:val="32"/>
          <w:sz w:val="32"/>
          <w:szCs w:val="32"/>
          <w:lang w:val="en-US" w:eastAsia="zh-CN"/>
          <w14:textFill>
            <w14:solidFill>
              <w14:schemeClr w14:val="tx1"/>
            </w14:solidFill>
          </w14:textFill>
        </w:rPr>
        <w:t>同志</w:t>
      </w:r>
      <w:r>
        <w:rPr>
          <w:rStyle w:val="7"/>
          <w:rFonts w:hint="eastAsia" w:ascii="仿宋_GB2312" w:hAnsi="仿宋_GB2312" w:eastAsia="仿宋_GB2312" w:cs="仿宋_GB2312"/>
          <w:color w:val="000000" w:themeColor="text1"/>
          <w:kern w:val="32"/>
          <w:sz w:val="32"/>
          <w:szCs w:val="32"/>
          <w14:textFill>
            <w14:solidFill>
              <w14:schemeClr w14:val="tx1"/>
            </w14:solidFill>
          </w14:textFill>
        </w:rPr>
        <w:t>要</w:t>
      </w:r>
      <w:r>
        <w:rPr>
          <w:rStyle w:val="7"/>
          <w:rFonts w:hint="eastAsia" w:ascii="仿宋_GB2312" w:hAnsi="仿宋_GB2312" w:eastAsia="仿宋_GB2312" w:cs="仿宋_GB2312"/>
          <w:color w:val="000000" w:themeColor="text1"/>
          <w:kern w:val="32"/>
          <w:sz w:val="32"/>
          <w:szCs w:val="32"/>
          <w:lang w:val="en-US" w:eastAsia="zh-CN"/>
          <w14:textFill>
            <w14:solidFill>
              <w14:schemeClr w14:val="tx1"/>
            </w14:solidFill>
          </w14:textFill>
        </w:rPr>
        <w:t>主动</w:t>
      </w:r>
      <w:r>
        <w:rPr>
          <w:rStyle w:val="7"/>
          <w:rFonts w:hint="eastAsia" w:ascii="仿宋_GB2312" w:hAnsi="仿宋_GB2312" w:eastAsia="仿宋_GB2312" w:cs="仿宋_GB2312"/>
          <w:color w:val="000000" w:themeColor="text1"/>
          <w:kern w:val="32"/>
          <w:sz w:val="32"/>
          <w:szCs w:val="32"/>
          <w14:textFill>
            <w14:solidFill>
              <w14:schemeClr w14:val="tx1"/>
            </w14:solidFill>
          </w14:textFill>
        </w:rPr>
        <w:t>熟悉教育、关心教育</w:t>
      </w:r>
      <w:r>
        <w:rPr>
          <w:rStyle w:val="7"/>
          <w:rFonts w:hint="eastAsia" w:ascii="仿宋_GB2312" w:hAnsi="仿宋_GB2312" w:eastAsia="仿宋_GB2312" w:cs="仿宋_GB2312"/>
          <w:color w:val="000000" w:themeColor="text1"/>
          <w:kern w:val="32"/>
          <w:sz w:val="32"/>
          <w:szCs w:val="32"/>
          <w:lang w:eastAsia="zh-CN"/>
          <w14:textFill>
            <w14:solidFill>
              <w14:schemeClr w14:val="tx1"/>
            </w14:solidFill>
          </w14:textFill>
        </w:rPr>
        <w:t>、</w:t>
      </w:r>
      <w:r>
        <w:rPr>
          <w:rStyle w:val="7"/>
          <w:rFonts w:hint="eastAsia" w:ascii="仿宋_GB2312" w:hAnsi="仿宋_GB2312" w:eastAsia="仿宋_GB2312" w:cs="仿宋_GB2312"/>
          <w:color w:val="000000" w:themeColor="text1"/>
          <w:kern w:val="32"/>
          <w:sz w:val="32"/>
          <w:szCs w:val="32"/>
          <w:lang w:val="en-US" w:eastAsia="zh-CN"/>
          <w14:textFill>
            <w14:solidFill>
              <w14:schemeClr w14:val="tx1"/>
            </w14:solidFill>
          </w14:textFill>
        </w:rPr>
        <w:t>研究教育，加强对教育系统基层党组织建设、党风廉政建设、干部队伍建设的指导，为推动全县基础教育高质量发展提供坚强的组织保障和强有力的人才支撑。</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楷体_GB2312" w:hAnsi="楷体_GB2312" w:eastAsia="楷体_GB2312" w:cs="楷体_GB2312"/>
          <w:b w:val="0"/>
          <w:bCs w:val="0"/>
          <w:i w:val="0"/>
          <w:iCs w:val="0"/>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val="0"/>
          <w:bCs w:val="0"/>
          <w:i w:val="0"/>
          <w:iCs w:val="0"/>
          <w:color w:val="000000" w:themeColor="text1"/>
          <w:sz w:val="32"/>
          <w:szCs w:val="32"/>
          <w:lang w:val="en-US" w:eastAsia="zh-CN"/>
          <w14:textFill>
            <w14:solidFill>
              <w14:schemeClr w14:val="tx1"/>
            </w14:solidFill>
          </w14:textFill>
        </w:rPr>
        <w:t>（二）落实政府主体责任</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9"/>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1.健全教育管理体制。</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县政府统筹县域内基础教育发展，主要落实管理学前教育和义务教育的主体责任，健全教育投入机制，改善办学条件，配齐配足教师，提高教育质量。</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2.强化</w:t>
      </w:r>
      <w:r>
        <w:rPr>
          <w:rFonts w:hint="eastAsia" w:ascii="仿宋_GB2312" w:hAnsi="仿宋_GB2312" w:eastAsia="仿宋_GB2312" w:cs="仿宋_GB2312"/>
          <w:b/>
          <w:bCs/>
          <w:i w:val="0"/>
          <w:iCs w:val="0"/>
          <w:color w:val="000000" w:themeColor="text1"/>
          <w:sz w:val="32"/>
          <w:szCs w:val="32"/>
          <w:lang w:val="en-US" w:eastAsia="zh-CN"/>
          <w14:textFill>
            <w14:solidFill>
              <w14:schemeClr w14:val="tx1"/>
            </w14:solidFill>
          </w14:textFill>
        </w:rPr>
        <w:t>县</w:t>
      </w:r>
      <w:bookmarkStart w:id="0" w:name="_GoBack"/>
      <w:bookmarkEnd w:id="0"/>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主责意识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。明确</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办好基础教育的主体责任在县。县政府将基础教育高质量发展列为“一把手工程”，摆上重要议事日程，破除发展障碍，全力推动基础教育高质量发展取得实效。县政府主要领导切实履行政治担当责任、决策部署责任、推进落实责任、问题整改责任、发展效果责任。县政府主要领导年终述职必述基础教育高质量发展工作。</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9"/>
        <w:rPr>
          <w:rFonts w:hint="eastAsia" w:ascii="仿宋_GB2312" w:hAnsi="仿宋_GB2312" w:eastAsia="仿宋_GB2312" w:cs="仿宋_GB2312"/>
          <w:color w:val="FF0000"/>
          <w:sz w:val="32"/>
          <w:szCs w:val="32"/>
          <w:u w:val="none"/>
          <w:lang w:val="en-US" w:eastAsia="zh-CN"/>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3.选优配强教育局领导干部。</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县党委政府高度重视教育局领导干部队伍建设，坚持好干部标准，统筹长远规划和精准选配工作，强化战略储备、源头培养、跟踪培养，优先从教育教学和行政管理经验丰富的专业人才中选拔任用教育局领导，教育行政班子成员一般应</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具有一定年限的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教育系统工作经历，切实让爱教育懂教育的行家里手管教育、抓教育，不断提升教育系统干部队伍的发展领导力和办学治校能力。</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强化教育局领导干部培养培训，不断提升其政治素养、业务能力和工作水平。</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9"/>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4.选优配强中小学校长。</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选配的中小学校长应当具备教育工作经历或相应专业背景及相应的任职条件和资格，实行中小学校长任期目标责任制管理。要建立中青年校长和后备校长培养制度，建立完善后备校长人才库，新任校长主要从人才库中择优选拔。加大校长培训力度，落实校长全员培训制度。</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东莞长安镇和茶山镇、韶关学院、</w:t>
      </w:r>
      <w:r>
        <w:rPr>
          <w:rFonts w:hint="eastAsia" w:ascii="仿宋_GB2312" w:hAnsi="Arial" w:eastAsia="仿宋_GB2312" w:cs="Arial"/>
          <w:color w:val="000000" w:themeColor="text1"/>
          <w:sz w:val="32"/>
          <w:szCs w:val="32"/>
          <w14:textFill>
            <w14:solidFill>
              <w14:schemeClr w14:val="tx1"/>
            </w14:solidFill>
          </w14:textFill>
        </w:rPr>
        <w:t>广东培正学院、广东体育职业技术学院和广州珠江职业技术学院</w:t>
      </w:r>
      <w:r>
        <w:rPr>
          <w:rFonts w:hint="eastAsia" w:ascii="仿宋_GB2312" w:hAnsi="Arial" w:eastAsia="仿宋_GB2312" w:cs="Arial"/>
          <w:color w:val="000000" w:themeColor="text1"/>
          <w:sz w:val="32"/>
          <w:szCs w:val="32"/>
          <w:lang w:val="en-US" w:eastAsia="zh-CN"/>
          <w14:textFill>
            <w14:solidFill>
              <w14:schemeClr w14:val="tx1"/>
            </w14:solidFill>
          </w14:textFill>
        </w:rPr>
        <w:t>与我县</w:t>
      </w:r>
      <w:r>
        <w:rPr>
          <w:rFonts w:hint="eastAsia" w:ascii="仿宋_GB2312" w:hAnsi="仿宋" w:eastAsia="仿宋_GB2312"/>
          <w:color w:val="000000" w:themeColor="text1"/>
          <w:sz w:val="32"/>
          <w:szCs w:val="32"/>
          <w14:textFill>
            <w14:solidFill>
              <w14:schemeClr w14:val="tx1"/>
            </w14:solidFill>
          </w14:textFill>
        </w:rPr>
        <w:t>共同组织实施，3年内,</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组织每位校（园）长参加不少于12天（72学时）的面授培训和不少于60学时的网络研修，</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东莞长安镇和茶山镇、韶关学院、</w:t>
      </w:r>
      <w:r>
        <w:rPr>
          <w:rFonts w:hint="eastAsia" w:ascii="仿宋_GB2312" w:hAnsi="Arial" w:eastAsia="仿宋_GB2312" w:cs="Arial"/>
          <w:color w:val="000000" w:themeColor="text1"/>
          <w:sz w:val="32"/>
          <w:szCs w:val="32"/>
          <w14:textFill>
            <w14:solidFill>
              <w14:schemeClr w14:val="tx1"/>
            </w14:solidFill>
          </w14:textFill>
        </w:rPr>
        <w:t>广东培正学院、广东体育职业技术学院和广州珠江职业技术学院</w:t>
      </w:r>
      <w:r>
        <w:rPr>
          <w:rFonts w:hint="eastAsia" w:ascii="仿宋_GB2312" w:hAnsi="仿宋" w:eastAsia="仿宋_GB2312"/>
          <w:color w:val="000000" w:themeColor="text1"/>
          <w:sz w:val="32"/>
          <w:szCs w:val="32"/>
          <w14:textFill>
            <w14:solidFill>
              <w14:schemeClr w14:val="tx1"/>
            </w14:solidFill>
          </w14:textFill>
        </w:rPr>
        <w:t>配合</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制定培训方案，为</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校长培训提供培训师资</w:t>
      </w:r>
      <w:r>
        <w:rPr>
          <w:rFonts w:hint="eastAsia" w:ascii="仿宋_GB2312" w:hAnsi="仿宋" w:eastAsia="仿宋_GB2312"/>
          <w:color w:val="000000" w:themeColor="text1"/>
          <w:sz w:val="32"/>
          <w:szCs w:val="32"/>
          <w:lang w:val="en-US" w:eastAsia="zh-CN"/>
          <w14:textFill>
            <w14:solidFill>
              <w14:schemeClr w14:val="tx1"/>
            </w14:solidFill>
          </w14:textFill>
        </w:rPr>
        <w:t>或者资金</w:t>
      </w:r>
      <w:r>
        <w:rPr>
          <w:rFonts w:hint="eastAsia" w:ascii="仿宋_GB2312" w:hAnsi="仿宋" w:eastAsia="仿宋_GB2312"/>
          <w:color w:val="000000" w:themeColor="text1"/>
          <w:sz w:val="32"/>
          <w:szCs w:val="32"/>
          <w14:textFill>
            <w14:solidFill>
              <w14:schemeClr w14:val="tx1"/>
            </w14:solidFill>
          </w14:textFill>
        </w:rPr>
        <w:t>的支持</w:t>
      </w:r>
      <w:r>
        <w:rPr>
          <w:rFonts w:hint="eastAsia" w:ascii="仿宋_GB2312" w:hAnsi="仿宋" w:eastAsia="仿宋_GB2312"/>
          <w:color w:val="000000" w:themeColor="text1"/>
          <w:sz w:val="32"/>
          <w:szCs w:val="32"/>
          <w:lang w:eastAsia="zh-CN"/>
          <w14:textFill>
            <w14:solidFill>
              <w14:schemeClr w14:val="tx1"/>
            </w14:solidFill>
          </w14:textFill>
        </w:rPr>
        <w:t>，</w:t>
      </w:r>
      <w:r>
        <w:rPr>
          <w:rFonts w:hint="eastAsia" w:ascii="仿宋_GB2312" w:hAnsi="仿宋" w:eastAsia="仿宋_GB2312"/>
          <w:color w:val="000000" w:themeColor="text1"/>
          <w:sz w:val="32"/>
          <w:szCs w:val="32"/>
          <w:lang w:val="en-US" w:eastAsia="zh-CN"/>
          <w14:textFill>
            <w14:solidFill>
              <w14:schemeClr w14:val="tx1"/>
            </w14:solidFill>
          </w14:textFill>
        </w:rPr>
        <w:t>我县负责组织实施</w:t>
      </w:r>
      <w:r>
        <w:rPr>
          <w:rFonts w:hint="eastAsia" w:ascii="仿宋_GB2312" w:hAnsi="仿宋" w:eastAsia="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实施中小学校长“领航”工程，以教育理念创新、教育实践创新、教育评价改革创新和教育质量提升为重点，分层分级培养一批“种子校长”。加强各级中小学名校长工作室建设，将工作室跟岗实践作为校长学习提升学校管理能力的重要方式。建立校长校内听课评课制度，提高校长指导教育教学的能力素质。加快推进中小学校长职级制改革，建立健全校长职级评定、考核、激励等制度体系。</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5.统筹好教育事业发展与学校安全稳定。</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县政府领导本行政区域内学校安全工作，切实完善学校安全机制， 建设学校安全防控体系，加强校园安全管理、师生安全教育和教育领域社会矛盾防范化解工作。要严密做好各项安全稳定工作，及时化解校园周边存在的安全风险隐患</w:t>
      </w:r>
      <w:r>
        <w:rPr>
          <w:rFonts w:hint="eastAsia" w:ascii="仿宋_GB2312" w:hAnsi="仿宋_GB2312" w:eastAsia="仿宋_GB2312" w:cs="仿宋_GB2312"/>
          <w:b w:val="0"/>
          <w:bCs w:val="0"/>
          <w:color w:val="000000" w:themeColor="text1"/>
          <w:sz w:val="32"/>
          <w:szCs w:val="32"/>
          <w:u w:val="none"/>
          <w:lang w:val="en-US" w:eastAsia="zh-CN"/>
          <w14:textFill>
            <w14:solidFill>
              <w14:schemeClr w14:val="tx1"/>
            </w14:solidFill>
          </w14:textFill>
        </w:rPr>
        <w:t>。县教育行政部门要建立安全稳定风险隐患评估研判和排查整治的长效机制和由当地政法委、教育、公安、消防、应急管理、市场监管等组成的联席会议制度，定期召开风险隐患评估研判联席会议，并</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适时开展排查整治专项行动。</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楷体_GB2312" w:hAnsi="楷体_GB2312" w:eastAsia="楷体_GB2312" w:cs="楷体_GB2312"/>
          <w:b w:val="0"/>
          <w:bCs w:val="0"/>
          <w:i w:val="0"/>
          <w:iCs w:val="0"/>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val="0"/>
          <w:bCs w:val="0"/>
          <w:i w:val="0"/>
          <w:iCs w:val="0"/>
          <w:color w:val="000000" w:themeColor="text1"/>
          <w:sz w:val="32"/>
          <w:szCs w:val="32"/>
          <w:lang w:val="en-US" w:eastAsia="zh-CN"/>
          <w14:textFill>
            <w14:solidFill>
              <w14:schemeClr w14:val="tx1"/>
            </w14:solidFill>
          </w14:textFill>
        </w:rPr>
        <w:t>（三）提升教育教学质量</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b w:val="0"/>
          <w:bCs w:val="0"/>
          <w:color w:val="000000" w:themeColor="text1"/>
          <w:spacing w:val="0"/>
          <w:kern w:val="2"/>
          <w:sz w:val="32"/>
          <w:szCs w:val="32"/>
          <w:u w:val="none"/>
          <w:lang w:val="en-US" w:eastAsia="zh-CN" w:bidi="ar-SA"/>
          <w14:textFill>
            <w14:solidFill>
              <w14:schemeClr w14:val="tx1"/>
            </w14:solidFill>
          </w14:textFill>
        </w:rPr>
        <w:t>要做好学校教学管理人员、县级中心教研组成员和教研员三支队伍的指导、培训与管理，抓实教研员上示范课工作，发挥和调动他们在教学管理和教学中的指导和示范引领作用。继续落实“自主互助 当堂训练”的课堂教学改革，抓实课堂教学常规管理，促进课堂提质增效。进一步完善和规范专项教学视导与“新优质学校”教学工作考核评价，抓实学校教学工作的过程管理与监控。进一步完善和规范各类教学评比活动，搭建教师专业发展的平台，促进教师的专业发展。深入开展提升教育教学质量大讨论活动，促进学校科学管理，转变教师观念，规范教育教学活动，全方位推进课堂精准教学，不断提升教育教学质量。</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（四）提升教师、教研员能力素质</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9"/>
        <w:rPr>
          <w:rFonts w:hint="eastAsia" w:ascii="仿宋_GB2312" w:hAnsi="仿宋_GB2312" w:eastAsia="仿宋_GB2312" w:cs="仿宋_GB2312"/>
          <w:color w:val="FF0000"/>
          <w:sz w:val="32"/>
          <w:szCs w:val="32"/>
          <w:u w:val="single"/>
          <w:lang w:val="en-US" w:eastAsia="zh-CN"/>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1.加强骨干教师培养。</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每年遴选</w:t>
      </w:r>
      <w:r>
        <w:rPr>
          <w:rFonts w:hint="eastAsia" w:ascii="仿宋_GB2312" w:hAnsi="仿宋" w:eastAsia="仿宋_GB2312"/>
          <w:color w:val="000000" w:themeColor="text1"/>
          <w:sz w:val="32"/>
          <w:szCs w:val="32"/>
          <w:lang w:val="en-US" w:eastAsia="zh-CN"/>
          <w14:textFill>
            <w14:solidFill>
              <w14:schemeClr w14:val="tx1"/>
            </w14:solidFill>
          </w14:textFill>
        </w:rPr>
        <w:t>200</w:t>
      </w:r>
      <w:r>
        <w:rPr>
          <w:rFonts w:hint="eastAsia" w:ascii="仿宋_GB2312" w:hAnsi="仿宋" w:eastAsia="仿宋_GB2312"/>
          <w:color w:val="000000" w:themeColor="text1"/>
          <w:sz w:val="32"/>
          <w:szCs w:val="32"/>
          <w14:textFill>
            <w14:solidFill>
              <w14:schemeClr w14:val="tx1"/>
            </w14:solidFill>
          </w14:textFill>
        </w:rPr>
        <w:t>名中小学骨干教师，由</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东莞长安镇和茶山镇、韶关学院、</w:t>
      </w:r>
      <w:r>
        <w:rPr>
          <w:rFonts w:hint="eastAsia" w:ascii="仿宋_GB2312" w:hAnsi="Arial" w:eastAsia="仿宋_GB2312" w:cs="Arial"/>
          <w:color w:val="000000" w:themeColor="text1"/>
          <w:sz w:val="32"/>
          <w:szCs w:val="32"/>
          <w14:textFill>
            <w14:solidFill>
              <w14:schemeClr w14:val="tx1"/>
            </w14:solidFill>
          </w14:textFill>
        </w:rPr>
        <w:t>广东培正学院、广东体育职业技术学院和广州珠江职业技术学院</w:t>
      </w:r>
      <w:r>
        <w:rPr>
          <w:rFonts w:hint="eastAsia" w:ascii="仿宋_GB2312" w:hAnsi="仿宋" w:eastAsia="仿宋_GB2312"/>
          <w:color w:val="000000" w:themeColor="text1"/>
          <w:sz w:val="32"/>
          <w:szCs w:val="32"/>
          <w14:textFill>
            <w14:solidFill>
              <w14:schemeClr w14:val="tx1"/>
            </w14:solidFill>
          </w14:textFill>
        </w:rPr>
        <w:t>组织开展为期1年在职连续培养（多次集中，累计不少于30天或180学时）</w:t>
      </w:r>
      <w:r>
        <w:rPr>
          <w:rFonts w:hint="eastAsia" w:ascii="仿宋_GB2312" w:hAnsi="仿宋" w:eastAsia="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充分发挥各级骨干教师在教师专业发展中的示范带动和辐射作用。深入推进实施中小学“百千万人才培养工程”，培养一</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批业内认可、具有影响力的名教师、名校长、名班主任。要立足本土培养骨干教师，支持在收入、住房等方面给予本土培养的骨干教师与引进人才同等的优待政策。促进县中小学教育人才发展，稳定优化县基础教育人才队伍，遏制人才引进不良竞争。</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9"/>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2.全面提高教师教育教学能力。</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落实教学常规管理责任制，规范教学教研行为，构建有序、规范、科学的教学常规管理机制，打造高效课堂。</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实行中小学教师全员轮训制度，</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东莞长安镇和茶山镇、韶关学院、</w:t>
      </w:r>
      <w:r>
        <w:rPr>
          <w:rFonts w:hint="eastAsia" w:ascii="仿宋_GB2312" w:hAnsi="Arial" w:eastAsia="仿宋_GB2312" w:cs="Arial"/>
          <w:color w:val="000000" w:themeColor="text1"/>
          <w:sz w:val="32"/>
          <w:szCs w:val="32"/>
          <w14:textFill>
            <w14:solidFill>
              <w14:schemeClr w14:val="tx1"/>
            </w14:solidFill>
          </w14:textFill>
        </w:rPr>
        <w:t>广东培正学院、广东体育职业技术学院和广州珠江职业技术学院</w:t>
      </w:r>
      <w:r>
        <w:rPr>
          <w:rFonts w:hint="eastAsia" w:ascii="仿宋_GB2312" w:hAnsi="Arial" w:eastAsia="仿宋_GB2312" w:cs="Arial"/>
          <w:color w:val="000000" w:themeColor="text1"/>
          <w:sz w:val="32"/>
          <w:szCs w:val="32"/>
          <w:lang w:val="en-US" w:eastAsia="zh-CN"/>
          <w14:textFill>
            <w14:solidFill>
              <w14:schemeClr w14:val="tx1"/>
            </w14:solidFill>
          </w14:textFill>
        </w:rPr>
        <w:t>与我县</w:t>
      </w:r>
      <w:r>
        <w:rPr>
          <w:rFonts w:hint="eastAsia" w:ascii="仿宋_GB2312" w:hAnsi="仿宋" w:eastAsia="仿宋_GB2312"/>
          <w:color w:val="000000" w:themeColor="text1"/>
          <w:sz w:val="32"/>
          <w:szCs w:val="32"/>
          <w14:textFill>
            <w14:solidFill>
              <w14:schemeClr w14:val="tx1"/>
            </w14:solidFill>
          </w14:textFill>
        </w:rPr>
        <w:t>共同组织实施，到2025年，</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组织每位教师参加不少于12天（72学时）的面授培训和不少于60学时的网络研修。</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东莞长安镇和茶山镇、韶关学院、</w:t>
      </w:r>
      <w:r>
        <w:rPr>
          <w:rFonts w:hint="eastAsia" w:ascii="仿宋_GB2312" w:hAnsi="Arial" w:eastAsia="仿宋_GB2312" w:cs="Arial"/>
          <w:color w:val="000000" w:themeColor="text1"/>
          <w:sz w:val="32"/>
          <w:szCs w:val="32"/>
          <w14:textFill>
            <w14:solidFill>
              <w14:schemeClr w14:val="tx1"/>
            </w14:solidFill>
          </w14:textFill>
        </w:rPr>
        <w:t>广东培正学院、广东体育职业技术学院和广州珠江职业技术学院</w:t>
      </w:r>
      <w:r>
        <w:rPr>
          <w:rFonts w:hint="eastAsia" w:ascii="仿宋_GB2312" w:hAnsi="仿宋" w:eastAsia="仿宋_GB2312"/>
          <w:color w:val="000000" w:themeColor="text1"/>
          <w:sz w:val="32"/>
          <w:szCs w:val="32"/>
          <w14:textFill>
            <w14:solidFill>
              <w14:schemeClr w14:val="tx1"/>
            </w14:solidFill>
          </w14:textFill>
        </w:rPr>
        <w:t>配合</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制定培训方案，为</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中小学教师全员轮训</w:t>
      </w:r>
      <w:r>
        <w:rPr>
          <w:rFonts w:hint="eastAsia" w:ascii="仿宋_GB2312" w:hAnsi="仿宋" w:eastAsia="仿宋_GB2312"/>
          <w:color w:val="000000" w:themeColor="text1"/>
          <w:sz w:val="32"/>
          <w:szCs w:val="32"/>
          <w14:textFill>
            <w14:solidFill>
              <w14:schemeClr w14:val="tx1"/>
            </w14:solidFill>
          </w14:textFill>
        </w:rPr>
        <w:t>提供培训师资</w:t>
      </w:r>
      <w:r>
        <w:rPr>
          <w:rFonts w:hint="eastAsia" w:ascii="仿宋_GB2312" w:hAnsi="仿宋" w:eastAsia="仿宋_GB2312"/>
          <w:color w:val="000000" w:themeColor="text1"/>
          <w:sz w:val="32"/>
          <w:szCs w:val="32"/>
          <w:lang w:val="en-US" w:eastAsia="zh-CN"/>
          <w14:textFill>
            <w14:solidFill>
              <w14:schemeClr w14:val="tx1"/>
            </w14:solidFill>
          </w14:textFill>
        </w:rPr>
        <w:t>或者资金</w:t>
      </w:r>
      <w:r>
        <w:rPr>
          <w:rFonts w:hint="eastAsia" w:ascii="仿宋_GB2312" w:hAnsi="仿宋" w:eastAsia="仿宋_GB2312"/>
          <w:color w:val="000000" w:themeColor="text1"/>
          <w:sz w:val="32"/>
          <w:szCs w:val="32"/>
          <w14:textFill>
            <w14:solidFill>
              <w14:schemeClr w14:val="tx1"/>
            </w14:solidFill>
          </w14:textFill>
        </w:rPr>
        <w:t>的支持</w:t>
      </w:r>
      <w:r>
        <w:rPr>
          <w:rFonts w:hint="eastAsia" w:ascii="仿宋_GB2312" w:hAnsi="仿宋" w:eastAsia="仿宋_GB2312"/>
          <w:color w:val="000000" w:themeColor="text1"/>
          <w:sz w:val="32"/>
          <w:szCs w:val="32"/>
          <w:lang w:eastAsia="zh-CN"/>
          <w14:textFill>
            <w14:solidFill>
              <w14:schemeClr w14:val="tx1"/>
            </w14:solidFill>
          </w14:textFill>
        </w:rPr>
        <w:t>，</w:t>
      </w:r>
      <w:r>
        <w:rPr>
          <w:rFonts w:hint="eastAsia" w:ascii="仿宋_GB2312" w:hAnsi="仿宋" w:eastAsia="仿宋_GB2312"/>
          <w:color w:val="000000" w:themeColor="text1"/>
          <w:sz w:val="32"/>
          <w:szCs w:val="32"/>
          <w:lang w:val="en-US" w:eastAsia="zh-CN"/>
          <w14:textFill>
            <w14:solidFill>
              <w14:schemeClr w14:val="tx1"/>
            </w14:solidFill>
          </w14:textFill>
        </w:rPr>
        <w:t>我县负责组织实施</w:t>
      </w:r>
      <w:r>
        <w:rPr>
          <w:rFonts w:hint="eastAsia" w:ascii="仿宋_GB2312" w:hAnsi="仿宋" w:eastAsia="仿宋_GB2312"/>
          <w:color w:val="000000" w:themeColor="text1"/>
          <w:sz w:val="32"/>
          <w:szCs w:val="32"/>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中小学校要根据实际开展校本培训，重点提升教师教学技能和课程实施能力。支持教师通过网络教育、脱产学习、在职进修等多种方式提升学历层次，并按有关标准给予补助。全面落实中小学教师全员坐班制度，健全完善教师岗位职责考核机制，实现能上能下、能进能出，激发队伍活力；完善师德失范惩处机制，坚决将严重违反师德的教师清除出教师队伍；对不适宜任教或不合格的教师及时调离教学岗位，经培训和考核合格后方能继续承担相应教学工作。</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9"/>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3.加强教研队伍建设。</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健全完善</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县、校二级教研体系，深入推进县级教研基地项目建设，充分发挥教研基地、南方教研大讲堂等的引领作用。县级教研机构应配齐所有学科专职教研员，解决从</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基层学校长期借用、借调在岗不在编教研员问题</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尊重教研工作的独立性</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、稳定性</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和专业性，减少非专业性事务工作，确保教研人员有足够的时间和精力去完成本职工</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作，</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确保到2025年专职教研员占专任教师比例达到全省平均水平。严格教研员准入制度，提高准入条件，新任专职教研员原则上应有6年以上教学工作经历、具有高级以上教师职称或研究生学历。调整优化教研机构岗位结构，拓展教研员职业通道，鼓励从一线优秀教师中选拔任用专兼职教研员。强化教研员工作职责，</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建立教研员业务与学校教学、教研一线紧密结合的工作机制，推行县级建立由专职教研员牵头，兼职教研员、</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中心教研</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组教师等组成的扁平化教研工作格局</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落实专职教研员到学校开展教学指导、深入课堂听课评课制度，推动教研员聚焦教育教学关键问题开展课题研究。建立教研</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机构定点联系学校制度和教研员定期到中小学任教制度，教研员在岗工作满5年后，原则上要到中小学校从事1年以上教育教学工作或每学期连续一个月从事学校一线教学工作。推进教研训一体化，发挥教研在推动基础教育高质量发展中的支撑作用。深化教研员管理制度改革，探索建立选聘优秀教研员到教育行政部门或中小学校任职或挂职制度。对于不履行教研职责、违背教研员职业道德、不适宜继续从事教研工作的教研员，及时调离教研队伍。</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（五）加大对口帮扶力度</w:t>
      </w:r>
    </w:p>
    <w:p>
      <w:pPr>
        <w:keepNext w:val="0"/>
        <w:keepLines w:val="0"/>
        <w:pageBreakBefore w:val="0"/>
        <w:kinsoku/>
        <w:wordWrap/>
        <w:overflowPunct/>
        <w:topLinePunct w:val="0"/>
        <w:autoSpaceDN/>
        <w:bidi w:val="0"/>
        <w:adjustRightInd/>
        <w:snapToGrid/>
        <w:spacing w:line="560" w:lineRule="exact"/>
        <w:ind w:firstLine="630"/>
        <w:textAlignment w:val="auto"/>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1.建立全口径、全方位、融入式结对帮扶机制。</w:t>
      </w:r>
      <w:r>
        <w:rPr>
          <w:rFonts w:hint="eastAsia" w:ascii="仿宋_GB2312" w:hAnsi="仿宋_GB2312" w:eastAsia="仿宋_GB2312" w:cs="仿宋_GB2312"/>
          <w:color w:val="000000" w:themeColor="text1"/>
          <w:sz w:val="32"/>
          <w:szCs w:val="32"/>
          <w14:textFill>
            <w14:solidFill>
              <w14:schemeClr w14:val="tx1"/>
            </w14:solidFill>
          </w14:textFill>
        </w:rPr>
        <w:t>通过</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东莞长安镇和茶山镇、韶关学院、</w:t>
      </w:r>
      <w:r>
        <w:rPr>
          <w:rFonts w:hint="eastAsia" w:ascii="仿宋_GB2312" w:hAnsi="仿宋_GB2312" w:eastAsia="仿宋_GB2312" w:cs="仿宋_GB2312"/>
          <w:color w:val="000000" w:themeColor="text1"/>
          <w:sz w:val="32"/>
          <w:szCs w:val="32"/>
          <w14:textFill>
            <w14:solidFill>
              <w14:schemeClr w14:val="tx1"/>
            </w14:solidFill>
          </w14:textFill>
        </w:rPr>
        <w:t>广东培正学院、广东体育职业技术学院和广州珠江职业技术学院教育协作帮扶与共建共享，充分发挥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他们</w:t>
      </w:r>
      <w:r>
        <w:rPr>
          <w:rFonts w:hint="eastAsia" w:ascii="仿宋_GB2312" w:hAnsi="仿宋_GB2312" w:eastAsia="仿宋_GB2312" w:cs="仿宋_GB2312"/>
          <w:color w:val="000000" w:themeColor="text1"/>
          <w:sz w:val="32"/>
          <w:szCs w:val="32"/>
          <w14:textFill>
            <w14:solidFill>
              <w14:schemeClr w14:val="tx1"/>
            </w14:solidFill>
          </w14:textFill>
        </w:rPr>
        <w:t>在管理、人才、资源、技术方面的优势，通过多种形式帮助</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我县</w:t>
      </w:r>
      <w:r>
        <w:rPr>
          <w:rFonts w:hint="eastAsia" w:ascii="仿宋_GB2312" w:hAnsi="仿宋_GB2312" w:eastAsia="仿宋_GB2312" w:cs="仿宋_GB2312"/>
          <w:color w:val="000000" w:themeColor="text1"/>
          <w:sz w:val="32"/>
          <w:szCs w:val="32"/>
          <w14:textFill>
            <w14:solidFill>
              <w14:schemeClr w14:val="tx1"/>
            </w14:solidFill>
          </w14:textFill>
        </w:rPr>
        <w:t>在学校管理、党建团建队建、教学质量、师资素质、办学水平等方面全面提升，缩小</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我</w:t>
      </w:r>
      <w:r>
        <w:rPr>
          <w:rFonts w:hint="eastAsia" w:ascii="仿宋_GB2312" w:hAnsi="仿宋_GB2312" w:eastAsia="仿宋_GB2312" w:cs="仿宋_GB2312"/>
          <w:color w:val="000000" w:themeColor="text1"/>
          <w:sz w:val="32"/>
          <w:szCs w:val="32"/>
          <w14:textFill>
            <w14:solidFill>
              <w14:schemeClr w14:val="tx1"/>
            </w14:solidFill>
          </w14:textFill>
        </w:rPr>
        <w:t>县县域内城乡之间的（基础）教育发展水平差距，加快推进</w:t>
      </w:r>
      <w:r>
        <w:rPr>
          <w:rFonts w:hint="eastAsia" w:ascii="仿宋_GB2312" w:hAnsi="仿宋_GB2312" w:eastAsia="仿宋_GB2312" w:cs="仿宋_GB2312"/>
          <w:bCs/>
          <w:color w:val="000000" w:themeColor="text1"/>
          <w:sz w:val="32"/>
          <w:szCs w:val="32"/>
          <w14:textFill>
            <w14:solidFill>
              <w14:schemeClr w14:val="tx1"/>
            </w14:solidFill>
          </w14:textFill>
        </w:rPr>
        <w:t>乳源</w:t>
      </w:r>
      <w:r>
        <w:rPr>
          <w:rFonts w:hint="eastAsia" w:ascii="仿宋_GB2312" w:hAnsi="仿宋_GB2312" w:eastAsia="仿宋_GB2312" w:cs="仿宋_GB2312"/>
          <w:color w:val="000000" w:themeColor="text1"/>
          <w:sz w:val="32"/>
          <w:szCs w:val="32"/>
          <w14:textFill>
            <w14:solidFill>
              <w14:schemeClr w14:val="tx1"/>
            </w14:solidFill>
          </w14:textFill>
        </w:rPr>
        <w:t>实现教育现代化，满足人民群众对优质教育的迫切需求。</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9"/>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2落实受援方主体责任。</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健全结对帮扶统筹协调、资源配置、考核评价机制，强化受援方主体责任。受援方要与支援方共同制定中长期帮扶规划，每年共同研究确定并协同实施帮扶项目。每年选派校长、骨干教师、教研员等人员交流跟岗，积极争取支援方在校长教师全员培训、学历提升、培训资源共享方面的支持，增强自主持续发展能力。要研究制定支教人员在职称评聘、福利待遇、选拔任用等方面的倾斜政策，合理确定支教人员工作量，妥善解决支教人员的后顾之忧，确保支教人员充分发挥作用。</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楷体_GB2312" w:hAnsi="楷体_GB2312" w:eastAsia="楷体_GB2312" w:cs="楷体_GB2312"/>
          <w:b w:val="0"/>
          <w:bCs w:val="0"/>
          <w:color w:val="FF0000"/>
          <w:sz w:val="32"/>
          <w:szCs w:val="32"/>
          <w:lang w:val="en-US" w:eastAsia="zh-CN"/>
        </w:rPr>
      </w:pP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（六）增加公办优质学位供给</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9"/>
        <w:rPr>
          <w:rFonts w:hint="default" w:ascii="仿宋_GB2312" w:hAnsi="仿宋_GB2312" w:eastAsia="仿宋_GB2312" w:cs="仿宋_GB2312"/>
          <w:color w:val="FF0000"/>
          <w:sz w:val="32"/>
          <w:szCs w:val="32"/>
          <w:lang w:val="en-US" w:eastAsia="zh-CN"/>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1.科学规划学位资源布局。</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县党委政</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府要统筹考虑城镇化进程</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、人口变化趋势、消除大校额和超标班额等</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因素，</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精准测算学位需求，编制本县“十四五”期间中小学幼儿园公办学位建设专项规划，同步纳入县编制的国土空间总体规划。测算学位需求时既要统筹考虑学前教育巩固“5080”成果、公办民办义务教育结构调整、城乡义务教育一体化发展、提高进城务工人员随迁子女入读义务教育阶段公办学校比例等因素，以及高中阶段普职协调发展、新高考改革选课走班等增量需求，同时要充分考量本地事业编制总盘子、财政供养能力等现实条件。规范民办幼儿园建设标准，规范民办园准入标准，考虑将不达建设标准的民办园整合改造成公办园；促进民办公办幼儿园同质化发展，形成标准化、规模化的办学机制，用好政策投入相应资源。要优化调整公办民办义务教育结构，原则上不得审批设立新的民办义务教育学校(含民办九年一贯制学校、十二年一贯制学校和完全中学)。要以城镇住宅小区、城市发展新区、老城改造区、城乡结合部、外来人口聚集区、产业聚集区、商业区等学位紧缺地区为重点，科学布局中小学幼儿园。重点增加县城区和中心镇等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口流入地学位供给。注重乡镇中心校建设，完善人员配置和资金投入，提升中心校办学条件，形成办学规模，拓展中心校的辐射作用和影响力，提升办学质量，保障农村孩子平等享受优质均衡教育。同时，继续探索小规模学校“撤点并校”途径，加快乡村寄宿制学校建设。</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9"/>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2.优先保障教育建设用地需求。</w:t>
      </w:r>
      <w:r>
        <w:rPr>
          <w:rFonts w:hint="eastAsia" w:ascii="仿宋_GB2312" w:eastAsia="仿宋_GB2312"/>
          <w:color w:val="auto"/>
          <w:sz w:val="32"/>
          <w:szCs w:val="32"/>
        </w:rPr>
        <w:t>编制国土空间规划时要统筹考虑基础教育</w:t>
      </w:r>
      <w:r>
        <w:rPr>
          <w:rFonts w:hint="eastAsia" w:ascii="仿宋_GB2312" w:eastAsia="仿宋_GB2312"/>
          <w:color w:val="auto"/>
          <w:spacing w:val="5"/>
          <w:sz w:val="32"/>
          <w:szCs w:val="32"/>
        </w:rPr>
        <w:t>需求，严格执行省级教育部门关于公办学位供给、寄宿制、高质量等方面的文件要求，高度重视教育用地的缺口，补足短板，做好中长期规划。</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建立公办学位供给与商住用地开发、 城</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市旧城改造的联动机制，按标准足额预留城镇新建住宅小区中小学幼儿园建设用地，没有按照规划要求预留教育设施用地的居住建设项目原则上不予核发建设工程规划许可证和施工许可证。对调高容积率的商品住宅项目应按人口增加比例调增配建学位数。不得随意变更教育用地规划。对公办学校围墙内存在非教育用地的情况，要及时改变土地用途，支持学校实施改扩建项目。对土地权属归于村镇集体、工业企业的学校，原军队转地方的学校，以及因年代久资料遗失等原因造成用地产权遗留问题，应予以妥善解决。</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3.建立基础教育项目审批 “绿色通道”。</w:t>
      </w:r>
      <w:r>
        <w:rPr>
          <w:rFonts w:hint="eastAsia" w:ascii="仿宋_GB2312" w:hAnsi="仿宋_GB2312" w:eastAsia="仿宋_GB2312" w:cs="仿宋_GB2312"/>
          <w:bCs/>
          <w:color w:val="auto"/>
          <w:sz w:val="32"/>
          <w:szCs w:val="32"/>
        </w:rPr>
        <w:t>教育项目建设要形成以政府为主导，政府各职能部门通力协作的建设管理机制，</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对涉及基础教育的学位建设等事宜优化审批流程、压缩办理时间。要落实并联审批、“一网通办”、告知承诺制、 联合审图、 联合验收等改革措施，加快办理学校基本建设审批事项。对同批次规划建设的学校项目，支持以县为单位集中办理项目立项等审批手续。对因历史遗留原因未办理产权的学校项目，支持学校依法依规调整详细规划后进行改扩建或原址重建，或根据教学需要进行装修改造。</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9"/>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4.及时动态补充教职工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u w:val="none"/>
          <w:lang w:val="en-US" w:eastAsia="zh-CN"/>
          <w14:textFill>
            <w14:solidFill>
              <w14:schemeClr w14:val="tx1"/>
            </w14:solidFill>
          </w14:textFill>
        </w:rPr>
        <w:t>县委编委加大基础教育编制统筹调配力度，</w:t>
      </w:r>
      <w:r>
        <w:rPr>
          <w:rFonts w:hint="eastAsia" w:ascii="仿宋_GB2312" w:hAnsi="仿宋_GB2312" w:eastAsia="仿宋_GB2312" w:cs="仿宋_GB2312"/>
          <w:b w:val="0"/>
          <w:bCs w:val="0"/>
          <w:color w:val="auto"/>
          <w:sz w:val="32"/>
          <w:szCs w:val="32"/>
          <w:lang w:val="en-US" w:eastAsia="zh-CN"/>
        </w:rPr>
        <w:t>重点保</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障人口流入地基础教育发展需要，促进教职工编制总量与在校学生数量相适应。加强事业编制挖潜创新，动态调整基础教育教职员编制总量，重点保障义务教育教职工编制增长需求。结合实际合理核定公办幼儿</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园教职工编制，并及时按需配备到位。落实城乡统一的中小学教职工编制标准，每年按照标准和要求动态核定教职工编制。全面推进中小学教师“县管校聘”改革，统筹县域内教师资源配置和管理，促进学校教师和管理人员向基层合理流动。</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三、保障措施</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（一）强化组织领导。</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建立县级工作协调机制，在县委教育工作领导小组指导下成立基础教育高质量发展工作小组，定期会商，及时研究解决基础教育高质量发展中的重点难点问题。分管教育工作的县政府领导牵头成立工作专班，特事特办、急事急办。</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color w:val="FF0000"/>
          <w:sz w:val="32"/>
          <w:szCs w:val="32"/>
          <w:lang w:val="en-US" w:eastAsia="zh-CN"/>
        </w:rPr>
      </w:pP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（二）强化资金保障。</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切实履行基础教育办学的主体责任，落实一般公共预算教育经费“两个只增不减”要求。县级教育费附加、地方教育附加足额安排用于教育，按规定用好土地出让、</w:t>
      </w:r>
      <w:r>
        <w:rPr>
          <w:rFonts w:hint="eastAsia" w:ascii="仿宋_GB2312" w:hAnsi="仿宋_GB2312" w:eastAsia="仿宋_GB2312" w:cs="仿宋_GB2312"/>
          <w:color w:val="auto"/>
          <w:sz w:val="32"/>
          <w:szCs w:val="32"/>
        </w:rPr>
        <w:t>城市配套</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收益计提的教育资金支持基础教育发展。积极争取地方政府新增债券按规定投入教育。鼓励通过设立教育基金会、企业融资等多渠道筹措资金参与学校建设。县发改、教育、财政等部门应按照管理权限，综合考虑经济社会发展水平、教育培养成本和群众承受能力等因素，及时动态调整公办普通高中和普惠性幼儿园学费(保教费)。按“经济、简约、实用”原则新建或改扩建学校，不搞超标准建设。</w:t>
      </w:r>
      <w:r>
        <w:rPr>
          <w:rFonts w:hint="eastAsia" w:ascii="仿宋_GB2312" w:hAnsi="仿宋_GB2312" w:eastAsia="仿宋_GB2312" w:cs="仿宋_GB2312"/>
          <w:color w:val="auto"/>
          <w:sz w:val="32"/>
          <w:szCs w:val="32"/>
        </w:rPr>
        <w:t>指导学校做好生均经费年度预算及中长期规划，按上级教育部门关于生均经费的管理办法，按比例划出相应资金用于学校教师培训、教仪设备采购、后勤管理、图书配置、文化建设、教育教研经费等方面，完善软硬基础条件，完善学校办学基础，提升办学能力和质量。</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根据《教育部 国家发展改革委 财政部关于深入推进义务教育薄弱环节改善与能力提升工作的意见》(教财〔2021〕3号)，可将义务教育薄弱环节改善与能力提升资金用于持续改善农村基本办学条件、扩大</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城镇学位供给、提升学校办学能力。</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color w:val="FF0000"/>
          <w:sz w:val="32"/>
          <w:szCs w:val="32"/>
          <w:lang w:val="en-US" w:eastAsia="zh-CN"/>
        </w:rPr>
      </w:pP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（三）强化宣传引导。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坚持正确舆论导向，加大宣传力度，全面正确解读党的教育方针，做好先进典型的宣传报道。利用报纸、广播、电视及新媒体等多种渠道，通过开设专题栏目、专版以及定期投放公益广告、制作专题宣传片等方式，全方位、多维度立体宣传报道基础教育高质量发展的具体举措及取得成效，及时回应社会关切，引导人民群众正确看待当前存在的问题，树立正确的教育观念，营造基础教育健康协调发展的良好氛围。</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560" w:lineRule="exact"/>
        <w:ind w:left="1278" w:leftChars="304" w:hanging="640" w:hangingChars="200"/>
        <w:textAlignment w:val="auto"/>
        <w:outlineLvl w:val="9"/>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附件：1.乳源瑶族自治县中小学校长能力提升工程实施方案（征求意见稿）</w:t>
      </w:r>
    </w:p>
    <w:p>
      <w:pPr>
        <w:keepNext w:val="0"/>
        <w:keepLines w:val="0"/>
        <w:pageBreakBefore w:val="0"/>
        <w:widowControl w:val="0"/>
        <w:kinsoku/>
        <w:wordWrap/>
        <w:overflowPunct/>
        <w:topLinePunct w:val="0"/>
        <w:autoSpaceDE/>
        <w:autoSpaceDN/>
        <w:bidi w:val="0"/>
        <w:adjustRightInd w:val="0"/>
        <w:snapToGrid w:val="0"/>
        <w:spacing w:line="560" w:lineRule="exact"/>
        <w:ind w:left="1277" w:leftChars="608" w:firstLine="320" w:firstLineChars="100"/>
        <w:textAlignment w:val="auto"/>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2.乳源瑶族自治县“新强师工程”实施方案（征求意见稿）</w:t>
      </w:r>
    </w:p>
    <w:p>
      <w:pPr>
        <w:keepNext w:val="0"/>
        <w:keepLines w:val="0"/>
        <w:pageBreakBefore w:val="0"/>
        <w:widowControl w:val="0"/>
        <w:kinsoku/>
        <w:wordWrap/>
        <w:overflowPunct/>
        <w:topLinePunct w:val="0"/>
        <w:autoSpaceDE/>
        <w:autoSpaceDN/>
        <w:bidi w:val="0"/>
        <w:adjustRightInd w:val="0"/>
        <w:snapToGrid w:val="0"/>
        <w:spacing w:line="560" w:lineRule="exact"/>
        <w:ind w:left="1596" w:leftChars="760" w:firstLine="0" w:firstLineChars="0"/>
        <w:textAlignment w:val="auto"/>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3.乳源瑶族自治县基础教育高质量发展结对帮扶实施方案（征求意见稿）</w:t>
      </w:r>
    </w:p>
    <w:p>
      <w:pPr>
        <w:keepNext w:val="0"/>
        <w:keepLines w:val="0"/>
        <w:pageBreakBefore w:val="0"/>
        <w:widowControl w:val="0"/>
        <w:kinsoku/>
        <w:wordWrap/>
        <w:overflowPunct/>
        <w:topLinePunct w:val="0"/>
        <w:autoSpaceDE/>
        <w:autoSpaceDN/>
        <w:bidi w:val="0"/>
        <w:adjustRightInd w:val="0"/>
        <w:snapToGrid w:val="0"/>
        <w:spacing w:line="560" w:lineRule="exact"/>
        <w:ind w:left="1598" w:leftChars="304" w:hanging="960" w:hangingChars="300"/>
        <w:textAlignment w:val="auto"/>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4.乳源瑶族自治县中小学幼儿园公办学位“十四五”建设专项规划（2021-2025）（征求意见稿）</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2ZTU4YzAwODEzNzVhYjlmYTEzMzM0NTc2MWMxNmQifQ=="/>
  </w:docVars>
  <w:rsids>
    <w:rsidRoot w:val="38893D9E"/>
    <w:rsid w:val="00C804F5"/>
    <w:rsid w:val="00DE32D5"/>
    <w:rsid w:val="03CE5854"/>
    <w:rsid w:val="04F94777"/>
    <w:rsid w:val="05872B13"/>
    <w:rsid w:val="06462F13"/>
    <w:rsid w:val="06C81D6C"/>
    <w:rsid w:val="06D53992"/>
    <w:rsid w:val="07F73FCD"/>
    <w:rsid w:val="080D66C8"/>
    <w:rsid w:val="09F674E0"/>
    <w:rsid w:val="0B257C18"/>
    <w:rsid w:val="0BB7621C"/>
    <w:rsid w:val="0DD01C61"/>
    <w:rsid w:val="0E0662D9"/>
    <w:rsid w:val="0E6B438E"/>
    <w:rsid w:val="0F8965D0"/>
    <w:rsid w:val="10906C65"/>
    <w:rsid w:val="116D2AA4"/>
    <w:rsid w:val="12527D3F"/>
    <w:rsid w:val="12713BB8"/>
    <w:rsid w:val="12AF14A7"/>
    <w:rsid w:val="14B44741"/>
    <w:rsid w:val="14D44848"/>
    <w:rsid w:val="154C1DA6"/>
    <w:rsid w:val="15D6317E"/>
    <w:rsid w:val="15F12AE7"/>
    <w:rsid w:val="17242E4D"/>
    <w:rsid w:val="178221C6"/>
    <w:rsid w:val="17A40F8F"/>
    <w:rsid w:val="18665A90"/>
    <w:rsid w:val="1883501E"/>
    <w:rsid w:val="19793E03"/>
    <w:rsid w:val="1AB52FCA"/>
    <w:rsid w:val="1ABD3BD6"/>
    <w:rsid w:val="1D5774D9"/>
    <w:rsid w:val="1DC57CDB"/>
    <w:rsid w:val="1E0A7E55"/>
    <w:rsid w:val="1E3C71B8"/>
    <w:rsid w:val="1ECD391D"/>
    <w:rsid w:val="1F351AFE"/>
    <w:rsid w:val="1F4A1A04"/>
    <w:rsid w:val="1F6A337A"/>
    <w:rsid w:val="1F9A15D1"/>
    <w:rsid w:val="20512A08"/>
    <w:rsid w:val="223B36A4"/>
    <w:rsid w:val="22454D3A"/>
    <w:rsid w:val="23194609"/>
    <w:rsid w:val="23345E7E"/>
    <w:rsid w:val="23A62A5E"/>
    <w:rsid w:val="25825C7A"/>
    <w:rsid w:val="268A34AC"/>
    <w:rsid w:val="279B3ADF"/>
    <w:rsid w:val="27B54BA0"/>
    <w:rsid w:val="28485C44"/>
    <w:rsid w:val="294E1C6B"/>
    <w:rsid w:val="2976210D"/>
    <w:rsid w:val="29852351"/>
    <w:rsid w:val="2A201231"/>
    <w:rsid w:val="2AC02336"/>
    <w:rsid w:val="2ADB2A24"/>
    <w:rsid w:val="2B0674C1"/>
    <w:rsid w:val="2BEE774E"/>
    <w:rsid w:val="2D703FFA"/>
    <w:rsid w:val="2D983A0A"/>
    <w:rsid w:val="2E5D564A"/>
    <w:rsid w:val="3131565D"/>
    <w:rsid w:val="32C10D46"/>
    <w:rsid w:val="34A35D81"/>
    <w:rsid w:val="34B85623"/>
    <w:rsid w:val="360D042A"/>
    <w:rsid w:val="37E624D8"/>
    <w:rsid w:val="37E82428"/>
    <w:rsid w:val="38683524"/>
    <w:rsid w:val="387E47F3"/>
    <w:rsid w:val="38893D9E"/>
    <w:rsid w:val="395D6E46"/>
    <w:rsid w:val="397F0B6A"/>
    <w:rsid w:val="3D787406"/>
    <w:rsid w:val="3E9230EE"/>
    <w:rsid w:val="3FC718CD"/>
    <w:rsid w:val="3FD634AE"/>
    <w:rsid w:val="40FB4959"/>
    <w:rsid w:val="4365116E"/>
    <w:rsid w:val="442518E4"/>
    <w:rsid w:val="469A30B9"/>
    <w:rsid w:val="471636A5"/>
    <w:rsid w:val="48F84495"/>
    <w:rsid w:val="49C20EC2"/>
    <w:rsid w:val="4C0F4D8B"/>
    <w:rsid w:val="4C3530C8"/>
    <w:rsid w:val="4C4D2208"/>
    <w:rsid w:val="4C531E44"/>
    <w:rsid w:val="4C58012C"/>
    <w:rsid w:val="4DD6149F"/>
    <w:rsid w:val="4E854DC1"/>
    <w:rsid w:val="4E9B3678"/>
    <w:rsid w:val="4EBD5F65"/>
    <w:rsid w:val="4F305CF3"/>
    <w:rsid w:val="51890380"/>
    <w:rsid w:val="51C91901"/>
    <w:rsid w:val="530E60FA"/>
    <w:rsid w:val="53995A16"/>
    <w:rsid w:val="54115DB2"/>
    <w:rsid w:val="5488491F"/>
    <w:rsid w:val="57496B02"/>
    <w:rsid w:val="575B34D7"/>
    <w:rsid w:val="593270FC"/>
    <w:rsid w:val="59EC3BA2"/>
    <w:rsid w:val="5B57504B"/>
    <w:rsid w:val="5C4B5BE9"/>
    <w:rsid w:val="5DA15BA5"/>
    <w:rsid w:val="5E7077DC"/>
    <w:rsid w:val="5F6E1106"/>
    <w:rsid w:val="60CA7ABA"/>
    <w:rsid w:val="60E131F9"/>
    <w:rsid w:val="610C1A1E"/>
    <w:rsid w:val="615057BE"/>
    <w:rsid w:val="619F3BDB"/>
    <w:rsid w:val="61F538F6"/>
    <w:rsid w:val="633E64E2"/>
    <w:rsid w:val="638312F6"/>
    <w:rsid w:val="63A96C11"/>
    <w:rsid w:val="63DF6BA0"/>
    <w:rsid w:val="65B337C6"/>
    <w:rsid w:val="66CD346C"/>
    <w:rsid w:val="66F56555"/>
    <w:rsid w:val="671D3D17"/>
    <w:rsid w:val="68073010"/>
    <w:rsid w:val="686A003D"/>
    <w:rsid w:val="6AA95EFE"/>
    <w:rsid w:val="6B270E7D"/>
    <w:rsid w:val="6B8974A3"/>
    <w:rsid w:val="6CF4701A"/>
    <w:rsid w:val="6E00154D"/>
    <w:rsid w:val="6E18445B"/>
    <w:rsid w:val="6E856326"/>
    <w:rsid w:val="6F2C5FF8"/>
    <w:rsid w:val="6FB222FC"/>
    <w:rsid w:val="71261758"/>
    <w:rsid w:val="72692A3A"/>
    <w:rsid w:val="728812AF"/>
    <w:rsid w:val="732859E4"/>
    <w:rsid w:val="74527D89"/>
    <w:rsid w:val="74695BCE"/>
    <w:rsid w:val="748F0CA5"/>
    <w:rsid w:val="76461242"/>
    <w:rsid w:val="76DE49AA"/>
    <w:rsid w:val="77E02E6F"/>
    <w:rsid w:val="78087B1C"/>
    <w:rsid w:val="78DE0702"/>
    <w:rsid w:val="7B124498"/>
    <w:rsid w:val="7C9C4526"/>
    <w:rsid w:val="7D8E2A52"/>
    <w:rsid w:val="7EF51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spacing w:before="162"/>
      <w:ind w:left="106"/>
    </w:pPr>
    <w:rPr>
      <w:rFonts w:ascii="仿宋_GB2312" w:hAnsi="仿宋_GB2312" w:eastAsia="仿宋_GB2312"/>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NormalCharacter"/>
    <w:qFormat/>
    <w:uiPriority w:val="0"/>
  </w:style>
  <w:style w:type="paragraph" w:customStyle="1" w:styleId="8">
    <w:name w:val="正文文本 (2)"/>
    <w:basedOn w:val="1"/>
    <w:qFormat/>
    <w:uiPriority w:val="0"/>
    <w:pPr>
      <w:shd w:val="clear" w:color="auto" w:fill="FFFFFF"/>
      <w:spacing w:before="840" w:after="180" w:line="0" w:lineRule="atLeast"/>
      <w:ind w:hanging="1280"/>
    </w:pPr>
    <w:rPr>
      <w:rFonts w:ascii="MingLiU" w:hAnsi="MingLiU" w:eastAsia="MingLiU" w:cs="MingLiU"/>
      <w:spacing w:val="30"/>
      <w:sz w:val="30"/>
      <w:szCs w:val="3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6690</Words>
  <Characters>6775</Characters>
  <Lines>0</Lines>
  <Paragraphs>0</Paragraphs>
  <TotalTime>18</TotalTime>
  <ScaleCrop>false</ScaleCrop>
  <LinksUpToDate>false</LinksUpToDate>
  <CharactersWithSpaces>6790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2021-10-25T04:58:00Z</dcterms:created>
  <dc:creator>SGJYJ</dc:creator>
  <cp:lastModifiedBy>般若</cp:lastModifiedBy>
  <cp:lastPrinted>2021-11-26T03:48:00Z</cp:lastPrinted>
  <dcterms:modified xsi:type="dcterms:W3CDTF">2022-07-21T02:29:22Z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48F6D7AB02E842E3BF53F5D677A4101C</vt:lpwstr>
  </property>
  <property fmtid="{D5CDD505-2E9C-101B-9397-08002B2CF9AE}" pid="4" name="ribbonExt">
    <vt:lpwstr>{"WPSExtOfficeTab":{"OnGetEnabled":false,"OnGetVisible":false}}</vt:lpwstr>
  </property>
</Properties>
</file>